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_rels/document.xml.rels" ContentType="application/vnd.openxmlformats-package.relationships+xml"/>
  <Override PartName="/word/header8.xml" ContentType="application/vnd.openxmlformats-officedocument.wordprocessingml.header+xml"/>
  <Override PartName="/word/header7.xml" ContentType="application/vnd.openxmlformats-officedocument.wordprocessingml.header+xml"/>
  <Override PartName="/word/header5.xml" ContentType="application/vnd.openxmlformats-officedocument.wordprocessingml.header+xml"/>
  <Override PartName="/word/header3.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header1.xml" ContentType="application/vnd.openxmlformats-officedocument.wordprocessingml.header+xml"/>
  <Override PartName="/word/styles.xml" ContentType="application/vnd.openxmlformats-officedocument.wordprocessingml.styles+xml"/>
  <Override PartName="/word/header6.xml" ContentType="application/vnd.openxmlformats-officedocument.wordprocessingml.header+xml"/>
  <Override PartName="/word/header9.xml" ContentType="application/vnd.openxmlformats-officedocument.wordprocessingml.header+xml"/>
  <Override PartName="/word/document.xml" ContentType="application/vnd.openxmlformats-officedocument.wordprocessingml.document.main+xml"/>
  <Override PartName="/word/header4.xml" ContentType="application/vnd.openxmlformats-officedocument.wordprocessingml.head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left="5387" w:right="40" w:hanging="0"/>
        <w:jc w:val="right"/>
        <w:rPr>
          <w:b/>
          <w:sz w:val="24"/>
          <w:szCs w:val="24"/>
        </w:rPr>
      </w:pPr>
      <w:r>
        <w:rPr>
          <w:b/>
          <w:sz w:val="24"/>
          <w:szCs w:val="24"/>
        </w:rPr>
      </w:r>
    </w:p>
    <w:p>
      <w:pPr>
        <w:pStyle w:val="Normal"/>
        <w:ind w:left="5387" w:right="40" w:hanging="0"/>
        <w:jc w:val="right"/>
        <w:rPr>
          <w:b/>
          <w:sz w:val="24"/>
          <w:szCs w:val="24"/>
        </w:rPr>
      </w:pPr>
      <w:r>
        <w:rPr>
          <w:b/>
          <w:sz w:val="24"/>
          <w:szCs w:val="24"/>
        </w:rPr>
      </w:r>
    </w:p>
    <w:p>
      <w:pPr>
        <w:pStyle w:val="Normal"/>
        <w:ind w:left="5387" w:right="40" w:hanging="0"/>
        <w:jc w:val="right"/>
        <w:rPr>
          <w:b/>
          <w:sz w:val="24"/>
          <w:szCs w:val="24"/>
        </w:rPr>
      </w:pPr>
      <w:r>
        <w:rPr>
          <w:b/>
          <w:sz w:val="24"/>
          <w:szCs w:val="24"/>
        </w:rPr>
      </w:r>
    </w:p>
    <w:p>
      <w:pPr>
        <w:pStyle w:val="Normal"/>
        <w:ind w:left="5387" w:right="40" w:hanging="0"/>
        <w:jc w:val="right"/>
        <w:rPr>
          <w:b/>
          <w:sz w:val="24"/>
          <w:szCs w:val="24"/>
        </w:rPr>
      </w:pPr>
      <w:r>
        <w:rPr>
          <w:b/>
          <w:sz w:val="24"/>
          <w:szCs w:val="24"/>
        </w:rPr>
      </w:r>
    </w:p>
    <w:p>
      <w:pPr>
        <w:pStyle w:val="Normal"/>
        <w:ind w:left="5387" w:right="40" w:hanging="0"/>
        <w:jc w:val="right"/>
        <w:rPr>
          <w:b/>
          <w:sz w:val="24"/>
          <w:szCs w:val="24"/>
        </w:rPr>
      </w:pPr>
      <w:r>
        <w:rPr>
          <w:b/>
          <w:sz w:val="24"/>
          <w:szCs w:val="24"/>
        </w:rPr>
      </w:r>
    </w:p>
    <w:p>
      <w:pPr>
        <w:pStyle w:val="Normal"/>
        <w:keepNext w:val="true"/>
        <w:keepLines/>
        <w:jc w:val="center"/>
        <w:rPr>
          <w:rFonts w:eastAsia="Calibri"/>
          <w:b/>
          <w:sz w:val="26"/>
          <w:szCs w:val="26"/>
        </w:rPr>
      </w:pPr>
      <w:r>
        <w:rPr>
          <w:rFonts w:eastAsia="Calibri"/>
          <w:b/>
          <w:sz w:val="26"/>
          <w:szCs w:val="26"/>
        </w:rPr>
      </w:r>
    </w:p>
    <w:p>
      <w:pPr>
        <w:pStyle w:val="Normal"/>
        <w:keepNext w:val="true"/>
        <w:keepLines/>
        <w:jc w:val="center"/>
        <w:rPr>
          <w:rFonts w:eastAsia="Calibri"/>
          <w:b/>
          <w:sz w:val="26"/>
          <w:szCs w:val="26"/>
        </w:rPr>
      </w:pPr>
      <w:r>
        <w:rPr>
          <w:rFonts w:eastAsia="Calibri"/>
          <w:b/>
          <w:sz w:val="26"/>
          <w:szCs w:val="26"/>
        </w:rPr>
      </w:r>
    </w:p>
    <w:p>
      <w:pPr>
        <w:pStyle w:val="Normal"/>
        <w:keepNext w:val="true"/>
        <w:keepLines/>
        <w:jc w:val="center"/>
        <w:rPr>
          <w:rFonts w:eastAsia="Calibri"/>
          <w:b/>
          <w:sz w:val="26"/>
          <w:szCs w:val="26"/>
        </w:rPr>
      </w:pPr>
      <w:r>
        <w:rPr>
          <w:rFonts w:eastAsia="Calibri"/>
          <w:b/>
          <w:sz w:val="26"/>
          <w:szCs w:val="26"/>
        </w:rPr>
      </w:r>
    </w:p>
    <w:p>
      <w:pPr>
        <w:pStyle w:val="Normal"/>
        <w:keepNext w:val="true"/>
        <w:keepLines/>
        <w:jc w:val="center"/>
        <w:rPr>
          <w:rFonts w:eastAsia="Calibri"/>
          <w:b/>
          <w:sz w:val="26"/>
          <w:szCs w:val="26"/>
        </w:rPr>
      </w:pPr>
      <w:r>
        <w:rPr>
          <w:rFonts w:eastAsia="Calibri"/>
          <w:b/>
          <w:sz w:val="26"/>
          <w:szCs w:val="26"/>
        </w:rPr>
      </w:r>
    </w:p>
    <w:p>
      <w:pPr>
        <w:pStyle w:val="Normal"/>
        <w:keepNext w:val="true"/>
        <w:keepLines/>
        <w:jc w:val="center"/>
        <w:rPr>
          <w:rFonts w:eastAsia="Calibri"/>
          <w:b/>
          <w:sz w:val="26"/>
          <w:szCs w:val="26"/>
        </w:rPr>
      </w:pPr>
      <w:r>
        <w:rPr>
          <w:rFonts w:eastAsia="Calibri"/>
          <w:b/>
          <w:sz w:val="26"/>
          <w:szCs w:val="26"/>
        </w:rPr>
      </w:r>
    </w:p>
    <w:p>
      <w:pPr>
        <w:pStyle w:val="Normal"/>
        <w:keepNext w:val="true"/>
        <w:keepLines/>
        <w:jc w:val="center"/>
        <w:rPr>
          <w:rFonts w:eastAsia="Calibri"/>
          <w:b/>
          <w:sz w:val="26"/>
          <w:szCs w:val="26"/>
        </w:rPr>
      </w:pPr>
      <w:r>
        <w:rPr>
          <w:rFonts w:eastAsia="Calibri"/>
          <w:b/>
          <w:sz w:val="26"/>
          <w:szCs w:val="26"/>
        </w:rPr>
      </w:r>
    </w:p>
    <w:p>
      <w:pPr>
        <w:pStyle w:val="Normal"/>
        <w:keepNext w:val="true"/>
        <w:keepLines/>
        <w:jc w:val="center"/>
        <w:rPr>
          <w:rFonts w:eastAsia="Calibri"/>
          <w:b/>
          <w:sz w:val="24"/>
          <w:szCs w:val="24"/>
        </w:rPr>
      </w:pPr>
      <w:r>
        <w:rPr>
          <w:rFonts w:eastAsia="Calibri"/>
          <w:b/>
          <w:sz w:val="24"/>
          <w:szCs w:val="24"/>
        </w:rPr>
      </w:r>
      <w:bookmarkStart w:id="0" w:name="_Toc139856287"/>
      <w:bookmarkStart w:id="1" w:name="_Toc141696704"/>
      <w:bookmarkStart w:id="2" w:name="_Toc137554584"/>
      <w:bookmarkStart w:id="3" w:name="_Toc139856287"/>
      <w:bookmarkStart w:id="4" w:name="_Toc141696704"/>
      <w:bookmarkStart w:id="5" w:name="_Toc137554584"/>
      <w:bookmarkEnd w:id="3"/>
      <w:bookmarkEnd w:id="4"/>
      <w:bookmarkEnd w:id="5"/>
    </w:p>
    <w:p>
      <w:pPr>
        <w:pStyle w:val="Normal"/>
        <w:keepNext w:val="true"/>
        <w:keepLines/>
        <w:jc w:val="center"/>
        <w:rPr>
          <w:sz w:val="24"/>
          <w:szCs w:val="24"/>
        </w:rPr>
      </w:pPr>
      <w:r>
        <w:rPr>
          <w:rFonts w:eastAsia="Calibri"/>
          <w:b/>
          <w:sz w:val="24"/>
          <w:szCs w:val="24"/>
        </w:rPr>
        <w:t>ТЕХНИЧЕСКИЕ ТРЕБОВАНИЯ</w:t>
      </w:r>
    </w:p>
    <w:p>
      <w:pPr>
        <w:pStyle w:val="Normal"/>
        <w:keepNext w:val="true"/>
        <w:keepLines/>
        <w:jc w:val="center"/>
        <w:rPr>
          <w:rFonts w:eastAsia="Calibri"/>
          <w:b/>
          <w:sz w:val="24"/>
          <w:szCs w:val="24"/>
        </w:rPr>
      </w:pPr>
      <w:r>
        <w:rPr>
          <w:rFonts w:eastAsia="Calibri"/>
          <w:b/>
          <w:sz w:val="24"/>
          <w:szCs w:val="24"/>
        </w:rPr>
      </w:r>
    </w:p>
    <w:p>
      <w:pPr>
        <w:pStyle w:val="Normal"/>
        <w:keepNext w:val="true"/>
        <w:keepLines/>
        <w:jc w:val="center"/>
        <w:rPr>
          <w:rFonts w:eastAsia="Calibri"/>
          <w:b/>
          <w:sz w:val="24"/>
          <w:szCs w:val="24"/>
        </w:rPr>
      </w:pPr>
      <w:r>
        <w:rPr>
          <w:rFonts w:eastAsia="Calibri"/>
          <w:b/>
          <w:sz w:val="24"/>
          <w:szCs w:val="24"/>
        </w:rPr>
      </w:r>
    </w:p>
    <w:p>
      <w:pPr>
        <w:pStyle w:val="Normal"/>
        <w:keepNext w:val="true"/>
        <w:keepLines/>
        <w:jc w:val="center"/>
        <w:rPr/>
      </w:pPr>
      <w:r>
        <w:rPr>
          <w:rFonts w:eastAsia="Calibri"/>
          <w:b w:val="false"/>
          <w:bCs w:val="false"/>
          <w:sz w:val="28"/>
          <w:szCs w:val="28"/>
        </w:rPr>
        <w:t>ОКПД2 43.22.12.190 Выполн</w:t>
      </w:r>
      <w:r>
        <w:rPr>
          <w:rFonts w:eastAsia="Calibri"/>
          <w:b w:val="false"/>
          <w:bCs w:val="false"/>
        </w:rPr>
        <w:t>ение работ</w:t>
      </w:r>
      <w:r>
        <w:rPr>
          <w:b w:val="false"/>
          <w:bCs w:val="false"/>
        </w:rPr>
        <w:t xml:space="preserve"> </w:t>
      </w:r>
      <w:r>
        <w:rPr>
          <w:rFonts w:eastAsia="Calibri"/>
          <w:b w:val="false"/>
          <w:bCs w:val="false"/>
        </w:rPr>
        <w:t>по техническому перевооружению системы вентиляции ФВР5 станционного маслохозяйства Новосибирской ГЭС.</w:t>
      </w:r>
      <w:r>
        <w:rPr>
          <w:rFonts w:eastAsia="Calibri"/>
          <w:b/>
        </w:rPr>
        <w:t xml:space="preserve"> </w:t>
      </w:r>
    </w:p>
    <w:p>
      <w:pPr>
        <w:pStyle w:val="Normal"/>
        <w:jc w:val="center"/>
        <w:rPr>
          <w:rFonts w:eastAsia="Calibri"/>
          <w:b/>
        </w:rPr>
      </w:pPr>
      <w:r>
        <w:rPr>
          <w:rFonts w:eastAsia="Calibri"/>
          <w:b/>
        </w:rPr>
      </w:r>
    </w:p>
    <w:p>
      <w:pPr>
        <w:pStyle w:val="Normal"/>
        <w:jc w:val="center"/>
        <w:rPr>
          <w:b/>
          <w:bCs/>
        </w:rPr>
      </w:pPr>
      <w:r>
        <w:rPr>
          <w:rFonts w:eastAsia="Calibri"/>
          <w:b/>
          <w:bCs/>
          <w:shd w:fill="FFFFFF" w:val="clear"/>
        </w:rPr>
        <w:t>(Лот №</w:t>
      </w:r>
      <w:r>
        <w:rPr>
          <w:rFonts w:eastAsia="Calibri"/>
          <w:b/>
          <w:bCs/>
        </w:rPr>
        <w:t xml:space="preserve"> ……….</w:t>
      </w:r>
      <w:r>
        <w:rPr>
          <w:rFonts w:eastAsia="Calibri"/>
          <w:b/>
          <w:bCs/>
          <w:shd w:fill="FFFFFF" w:val="clear"/>
        </w:rPr>
        <w:t>)</w:t>
      </w:r>
    </w:p>
    <w:p>
      <w:pPr>
        <w:pStyle w:val="Normal"/>
        <w:keepNext w:val="true"/>
        <w:keepLines/>
        <w:rPr>
          <w:rFonts w:eastAsia="Calibri"/>
          <w:sz w:val="24"/>
          <w:szCs w:val="24"/>
        </w:rPr>
      </w:pPr>
      <w:r>
        <w:rPr>
          <w:rFonts w:eastAsia="Calibri"/>
          <w:sz w:val="24"/>
          <w:szCs w:val="24"/>
        </w:rPr>
      </w:r>
    </w:p>
    <w:p>
      <w:pPr>
        <w:pStyle w:val="Normal"/>
        <w:keepNext w:val="true"/>
        <w:keepLines/>
        <w:rPr>
          <w:rFonts w:eastAsia="Calibri"/>
          <w:sz w:val="24"/>
          <w:szCs w:val="24"/>
        </w:rPr>
      </w:pPr>
      <w:r>
        <w:rPr>
          <w:rFonts w:eastAsia="Calibri"/>
          <w:sz w:val="24"/>
          <w:szCs w:val="24"/>
        </w:rPr>
      </w:r>
    </w:p>
    <w:p>
      <w:pPr>
        <w:pStyle w:val="Normal"/>
        <w:keepNext w:val="true"/>
        <w:keepLines/>
        <w:rPr>
          <w:rFonts w:eastAsia="Calibri"/>
          <w:sz w:val="24"/>
          <w:szCs w:val="24"/>
        </w:rPr>
      </w:pPr>
      <w:r>
        <w:rPr>
          <w:rFonts w:eastAsia="Calibri"/>
          <w:sz w:val="24"/>
          <w:szCs w:val="24"/>
        </w:rPr>
      </w:r>
    </w:p>
    <w:p>
      <w:pPr>
        <w:pStyle w:val="Normal"/>
        <w:keepNext w:val="true"/>
        <w:keepLines/>
        <w:rPr>
          <w:rFonts w:eastAsia="Calibri"/>
          <w:sz w:val="24"/>
          <w:szCs w:val="24"/>
        </w:rPr>
      </w:pPr>
      <w:r>
        <w:rPr>
          <w:rFonts w:eastAsia="Calibri"/>
          <w:sz w:val="24"/>
          <w:szCs w:val="24"/>
        </w:rPr>
      </w:r>
    </w:p>
    <w:p>
      <w:pPr>
        <w:pStyle w:val="Normal"/>
        <w:keepNext w:val="true"/>
        <w:keepLines/>
        <w:rPr>
          <w:rFonts w:eastAsia="Calibri"/>
          <w:sz w:val="24"/>
          <w:szCs w:val="24"/>
        </w:rPr>
      </w:pPr>
      <w:r>
        <w:rPr>
          <w:rFonts w:eastAsia="Calibri"/>
          <w:sz w:val="24"/>
          <w:szCs w:val="24"/>
        </w:rPr>
      </w:r>
    </w:p>
    <w:p>
      <w:pPr>
        <w:pStyle w:val="Normal"/>
        <w:keepNext w:val="true"/>
        <w:keepLines/>
        <w:rPr>
          <w:rFonts w:eastAsia="Calibri"/>
          <w:sz w:val="24"/>
          <w:szCs w:val="24"/>
        </w:rPr>
      </w:pPr>
      <w:r>
        <w:rPr>
          <w:rFonts w:eastAsia="Calibri"/>
          <w:sz w:val="24"/>
          <w:szCs w:val="24"/>
        </w:rPr>
      </w:r>
    </w:p>
    <w:p>
      <w:pPr>
        <w:pStyle w:val="Normal"/>
        <w:keepNext w:val="true"/>
        <w:keepLines/>
        <w:rPr>
          <w:rFonts w:eastAsia="Calibri"/>
          <w:sz w:val="24"/>
          <w:szCs w:val="24"/>
        </w:rPr>
      </w:pPr>
      <w:r>
        <w:rPr>
          <w:rFonts w:eastAsia="Calibri"/>
          <w:sz w:val="24"/>
          <w:szCs w:val="24"/>
        </w:rPr>
      </w:r>
    </w:p>
    <w:p>
      <w:pPr>
        <w:pStyle w:val="Normal"/>
        <w:keepNext w:val="true"/>
        <w:keepLines/>
        <w:rPr>
          <w:rFonts w:eastAsia="Calibri"/>
          <w:sz w:val="24"/>
          <w:szCs w:val="24"/>
        </w:rPr>
      </w:pPr>
      <w:r>
        <w:rPr>
          <w:rFonts w:eastAsia="Calibri"/>
          <w:sz w:val="24"/>
          <w:szCs w:val="24"/>
        </w:rPr>
      </w:r>
    </w:p>
    <w:p>
      <w:pPr>
        <w:pStyle w:val="Normal"/>
        <w:keepNext w:val="true"/>
        <w:keepLines/>
        <w:rPr>
          <w:rFonts w:eastAsia="Calibri"/>
          <w:sz w:val="24"/>
          <w:szCs w:val="24"/>
        </w:rPr>
      </w:pPr>
      <w:r>
        <w:rPr>
          <w:rFonts w:eastAsia="Calibri"/>
          <w:sz w:val="24"/>
          <w:szCs w:val="24"/>
        </w:rPr>
      </w:r>
    </w:p>
    <w:p>
      <w:pPr>
        <w:pStyle w:val="Normal"/>
        <w:keepNext w:val="true"/>
        <w:keepLines/>
        <w:rPr>
          <w:rFonts w:eastAsia="Calibri"/>
          <w:sz w:val="24"/>
          <w:szCs w:val="24"/>
        </w:rPr>
      </w:pPr>
      <w:r>
        <w:rPr>
          <w:rFonts w:eastAsia="Calibri"/>
          <w:sz w:val="24"/>
          <w:szCs w:val="24"/>
        </w:rPr>
      </w:r>
    </w:p>
    <w:p>
      <w:pPr>
        <w:pStyle w:val="Normal"/>
        <w:keepNext w:val="true"/>
        <w:keepLines/>
        <w:jc w:val="center"/>
        <w:rPr>
          <w:rFonts w:eastAsia="Calibri"/>
          <w:sz w:val="24"/>
          <w:szCs w:val="24"/>
        </w:rPr>
      </w:pPr>
      <w:r>
        <w:rPr>
          <w:rFonts w:eastAsia="Calibri"/>
          <w:sz w:val="24"/>
          <w:szCs w:val="24"/>
        </w:rPr>
      </w:r>
    </w:p>
    <w:p>
      <w:pPr>
        <w:pStyle w:val="Normal"/>
        <w:keepNext w:val="true"/>
        <w:keepLines/>
        <w:rPr>
          <w:rFonts w:eastAsia="Calibri"/>
          <w:sz w:val="24"/>
          <w:szCs w:val="24"/>
        </w:rPr>
      </w:pPr>
      <w:r>
        <w:rPr>
          <w:rFonts w:eastAsia="Calibri"/>
          <w:sz w:val="24"/>
          <w:szCs w:val="24"/>
        </w:rPr>
      </w:r>
    </w:p>
    <w:p>
      <w:pPr>
        <w:pStyle w:val="Normal"/>
        <w:keepNext w:val="true"/>
        <w:keepLines/>
        <w:rPr>
          <w:rFonts w:eastAsia="Calibri"/>
          <w:sz w:val="24"/>
          <w:szCs w:val="24"/>
        </w:rPr>
      </w:pPr>
      <w:r>
        <w:rPr>
          <w:rFonts w:eastAsia="Calibri"/>
          <w:sz w:val="24"/>
          <w:szCs w:val="24"/>
        </w:rPr>
      </w:r>
    </w:p>
    <w:p>
      <w:pPr>
        <w:pStyle w:val="Normal"/>
        <w:keepNext w:val="true"/>
        <w:keepLines/>
        <w:rPr>
          <w:rFonts w:eastAsia="Calibri"/>
          <w:sz w:val="24"/>
          <w:szCs w:val="24"/>
        </w:rPr>
      </w:pPr>
      <w:r>
        <w:rPr>
          <w:rFonts w:eastAsia="Calibri"/>
          <w:sz w:val="24"/>
          <w:szCs w:val="24"/>
        </w:rPr>
      </w:r>
    </w:p>
    <w:p>
      <w:pPr>
        <w:pStyle w:val="Normal"/>
        <w:keepNext w:val="true"/>
        <w:keepLines/>
        <w:rPr>
          <w:rFonts w:eastAsia="Calibri"/>
          <w:sz w:val="24"/>
          <w:szCs w:val="24"/>
        </w:rPr>
      </w:pPr>
      <w:r>
        <w:rPr>
          <w:rFonts w:eastAsia="Calibri"/>
          <w:sz w:val="24"/>
          <w:szCs w:val="24"/>
        </w:rPr>
      </w:r>
    </w:p>
    <w:p>
      <w:pPr>
        <w:pStyle w:val="Normal"/>
        <w:keepNext w:val="true"/>
        <w:keepLines/>
        <w:rPr>
          <w:rFonts w:eastAsia="Calibri"/>
          <w:sz w:val="24"/>
          <w:szCs w:val="24"/>
        </w:rPr>
      </w:pPr>
      <w:r>
        <w:rPr>
          <w:rFonts w:eastAsia="Calibri"/>
          <w:sz w:val="24"/>
          <w:szCs w:val="24"/>
        </w:rPr>
      </w:r>
    </w:p>
    <w:p>
      <w:pPr>
        <w:pStyle w:val="Normal"/>
        <w:keepNext w:val="true"/>
        <w:keepLines/>
        <w:rPr>
          <w:rFonts w:eastAsia="Calibri"/>
          <w:sz w:val="24"/>
          <w:szCs w:val="24"/>
        </w:rPr>
      </w:pPr>
      <w:r>
        <w:rPr>
          <w:rFonts w:eastAsia="Calibri"/>
          <w:sz w:val="24"/>
          <w:szCs w:val="24"/>
        </w:rPr>
      </w:r>
    </w:p>
    <w:p>
      <w:pPr>
        <w:pStyle w:val="Normal"/>
        <w:keepNext w:val="true"/>
        <w:keepLines/>
        <w:rPr>
          <w:rFonts w:eastAsia="Calibri"/>
          <w:sz w:val="24"/>
          <w:szCs w:val="24"/>
        </w:rPr>
      </w:pPr>
      <w:r>
        <w:rPr>
          <w:rFonts w:eastAsia="Calibri"/>
          <w:sz w:val="24"/>
          <w:szCs w:val="24"/>
        </w:rPr>
      </w:r>
    </w:p>
    <w:p>
      <w:pPr>
        <w:pStyle w:val="Normal"/>
        <w:keepNext w:val="true"/>
        <w:keepLines/>
        <w:rPr>
          <w:rFonts w:eastAsia="Calibri"/>
          <w:sz w:val="24"/>
          <w:szCs w:val="24"/>
        </w:rPr>
      </w:pPr>
      <w:r>
        <w:rPr>
          <w:rFonts w:eastAsia="Calibri"/>
          <w:sz w:val="24"/>
          <w:szCs w:val="24"/>
        </w:rPr>
      </w:r>
    </w:p>
    <w:p>
      <w:pPr>
        <w:pStyle w:val="Normal"/>
        <w:keepNext w:val="true"/>
        <w:keepLines/>
        <w:rPr>
          <w:rFonts w:eastAsia="Calibri"/>
          <w:sz w:val="24"/>
          <w:szCs w:val="24"/>
        </w:rPr>
      </w:pPr>
      <w:r>
        <w:rPr>
          <w:rFonts w:eastAsia="Calibri"/>
          <w:sz w:val="24"/>
          <w:szCs w:val="24"/>
        </w:rPr>
      </w:r>
    </w:p>
    <w:p>
      <w:pPr>
        <w:pStyle w:val="Normal"/>
        <w:keepNext w:val="true"/>
        <w:keepLines/>
        <w:rPr>
          <w:rFonts w:eastAsia="Calibri"/>
          <w:sz w:val="24"/>
          <w:szCs w:val="24"/>
        </w:rPr>
      </w:pPr>
      <w:r>
        <w:rPr>
          <w:rFonts w:eastAsia="Calibri"/>
          <w:sz w:val="24"/>
          <w:szCs w:val="24"/>
        </w:rPr>
      </w:r>
    </w:p>
    <w:p>
      <w:pPr>
        <w:pStyle w:val="Normal"/>
        <w:keepNext w:val="true"/>
        <w:keepLines/>
        <w:rPr>
          <w:rFonts w:eastAsia="Calibri"/>
          <w:sz w:val="24"/>
          <w:szCs w:val="24"/>
        </w:rPr>
      </w:pPr>
      <w:r>
        <w:rPr>
          <w:rFonts w:eastAsia="Calibri"/>
          <w:sz w:val="24"/>
          <w:szCs w:val="24"/>
        </w:rPr>
      </w:r>
    </w:p>
    <w:p>
      <w:pPr>
        <w:pStyle w:val="Normal"/>
        <w:keepNext w:val="true"/>
        <w:keepLines/>
        <w:rPr>
          <w:rFonts w:eastAsia="Calibri"/>
          <w:sz w:val="24"/>
          <w:szCs w:val="24"/>
        </w:rPr>
      </w:pPr>
      <w:r>
        <w:rPr>
          <w:rFonts w:eastAsia="Calibri"/>
          <w:sz w:val="24"/>
          <w:szCs w:val="24"/>
        </w:rPr>
      </w:r>
    </w:p>
    <w:p>
      <w:pPr>
        <w:pStyle w:val="Normal"/>
        <w:keepNext w:val="true"/>
        <w:keepLines/>
        <w:rPr>
          <w:rFonts w:eastAsia="Calibri"/>
          <w:sz w:val="24"/>
          <w:szCs w:val="24"/>
        </w:rPr>
      </w:pPr>
      <w:r>
        <w:rPr>
          <w:rFonts w:eastAsia="Calibri"/>
          <w:sz w:val="24"/>
          <w:szCs w:val="24"/>
        </w:rPr>
      </w:r>
    </w:p>
    <w:p>
      <w:pPr>
        <w:pStyle w:val="Normal"/>
        <w:keepNext w:val="true"/>
        <w:keepLines/>
        <w:rPr>
          <w:rFonts w:eastAsia="Calibri"/>
          <w:sz w:val="24"/>
          <w:szCs w:val="24"/>
        </w:rPr>
      </w:pPr>
      <w:r>
        <w:rPr>
          <w:rFonts w:eastAsia="Calibri"/>
          <w:sz w:val="24"/>
          <w:szCs w:val="24"/>
        </w:rPr>
      </w:r>
    </w:p>
    <w:p>
      <w:pPr>
        <w:pStyle w:val="Normal"/>
        <w:keepNext w:val="true"/>
        <w:keepLines/>
        <w:rPr>
          <w:rFonts w:eastAsia="Calibri"/>
          <w:sz w:val="24"/>
          <w:szCs w:val="24"/>
        </w:rPr>
      </w:pPr>
      <w:r>
        <w:rPr>
          <w:rFonts w:eastAsia="Calibri"/>
          <w:sz w:val="24"/>
          <w:szCs w:val="24"/>
        </w:rPr>
      </w:r>
    </w:p>
    <w:p>
      <w:pPr>
        <w:pStyle w:val="Normal"/>
        <w:keepNext w:val="true"/>
        <w:keepLines/>
        <w:rPr>
          <w:rFonts w:eastAsia="Calibri"/>
          <w:sz w:val="24"/>
          <w:szCs w:val="24"/>
        </w:rPr>
      </w:pPr>
      <w:r>
        <w:rPr>
          <w:rFonts w:eastAsia="Calibri"/>
          <w:sz w:val="24"/>
          <w:szCs w:val="24"/>
        </w:rPr>
      </w:r>
    </w:p>
    <w:p>
      <w:pPr>
        <w:pStyle w:val="Normal"/>
        <w:keepNext w:val="true"/>
        <w:keepLines/>
        <w:rPr>
          <w:rFonts w:eastAsia="Calibri"/>
          <w:sz w:val="24"/>
          <w:szCs w:val="24"/>
        </w:rPr>
      </w:pPr>
      <w:r>
        <w:rPr>
          <w:rFonts w:eastAsia="Calibri"/>
          <w:sz w:val="24"/>
          <w:szCs w:val="24"/>
        </w:rPr>
      </w:r>
    </w:p>
    <w:p>
      <w:pPr>
        <w:pStyle w:val="Normal"/>
        <w:keepNext w:val="true"/>
        <w:keepLines/>
        <w:rPr>
          <w:rFonts w:eastAsia="Calibri"/>
          <w:sz w:val="24"/>
          <w:szCs w:val="24"/>
        </w:rPr>
      </w:pPr>
      <w:r>
        <w:rPr>
          <w:rFonts w:eastAsia="Calibri"/>
          <w:sz w:val="24"/>
          <w:szCs w:val="24"/>
        </w:rPr>
      </w:r>
    </w:p>
    <w:p>
      <w:pPr>
        <w:pStyle w:val="Normal"/>
        <w:keepNext w:val="true"/>
        <w:keepLines/>
        <w:jc w:val="center"/>
        <w:rPr>
          <w:rFonts w:eastAsia="Calibri"/>
          <w:sz w:val="24"/>
          <w:szCs w:val="24"/>
        </w:rPr>
      </w:pPr>
      <w:r>
        <w:rPr>
          <w:rFonts w:eastAsia="Calibri"/>
          <w:sz w:val="24"/>
          <w:szCs w:val="24"/>
        </w:rPr>
      </w:r>
      <w:r>
        <w:br w:type="page"/>
      </w:r>
    </w:p>
    <w:p>
      <w:pPr>
        <w:pStyle w:val="Normal"/>
        <w:jc w:val="center"/>
        <w:rPr>
          <w:b/>
        </w:rPr>
      </w:pPr>
      <w:r>
        <w:rPr>
          <w:b/>
        </w:rPr>
        <w:t>СОДЕРЖАНИЕ</w:t>
      </w:r>
    </w:p>
    <w:sdt>
      <w:sdtPr>
        <w:docPartObj>
          <w:docPartGallery w:val="Table of Contents"/>
          <w:docPartUnique w:val="true"/>
        </w:docPartObj>
      </w:sdtPr>
      <w:sdtContent>
        <w:p>
          <w:pPr>
            <w:pStyle w:val="TOC1"/>
            <w:tabs>
              <w:tab w:val="left" w:pos="567" w:leader="none"/>
              <w:tab w:val="right" w:pos="9911" w:leader="dot"/>
            </w:tabs>
            <w:rPr>
              <w:rFonts w:ascii="Calibri" w:hAnsi="Calibri" w:eastAsia="" w:cs="" w:asciiTheme="minorHAnsi" w:cstheme="minorBidi" w:eastAsiaTheme="minorEastAsia" w:hAnsiTheme="minorHAnsi"/>
              <w:b w:val="false"/>
              <w:bCs w:val="false"/>
              <w:sz w:val="22"/>
              <w:szCs w:val="22"/>
            </w:rPr>
          </w:pPr>
          <w:r>
            <w:fldChar w:fldCharType="begin"/>
          </w:r>
          <w:r>
            <w:rPr>
              <w:webHidden/>
              <w:rStyle w:val="Style14"/>
              <w:vanish w:val="false"/>
              <w:rFonts w:eastAsia="Calibri"/>
            </w:rPr>
            <w:instrText xml:space="preserve"> TOC \z \o "1-4" \u \h</w:instrText>
          </w:r>
          <w:r>
            <w:rPr>
              <w:webHidden/>
              <w:rStyle w:val="Style14"/>
              <w:vanish w:val="false"/>
              <w:rFonts w:eastAsia="Calibri"/>
            </w:rPr>
            <w:fldChar w:fldCharType="separate"/>
          </w:r>
          <w:hyperlink w:anchor="_Toc221016962">
            <w:r>
              <w:rPr>
                <w:webHidden/>
                <w:rStyle w:val="Style14"/>
                <w:rFonts w:eastAsia="Calibri"/>
                <w:vanish w:val="false"/>
              </w:rPr>
              <w:t>1.</w:t>
            </w:r>
            <w:r>
              <w:rPr>
                <w:rStyle w:val="Style14"/>
                <w:rFonts w:eastAsia="" w:cs="" w:ascii="Calibri" w:hAnsi="Calibri" w:asciiTheme="minorHAnsi" w:cstheme="minorBidi" w:eastAsiaTheme="minorEastAsia" w:hAnsiTheme="minorHAnsi"/>
                <w:b w:val="false"/>
                <w:bCs w:val="false"/>
                <w:sz w:val="22"/>
                <w:szCs w:val="22"/>
              </w:rPr>
              <w:tab/>
            </w:r>
            <w:r>
              <w:rPr>
                <w:rStyle w:val="Style14"/>
                <w:rFonts w:eastAsia="Calibri"/>
              </w:rPr>
              <w:t>Общие сведения</w:t>
            </w:r>
            <w:r>
              <w:rPr>
                <w:webHidden/>
              </w:rPr>
              <w:fldChar w:fldCharType="begin"/>
            </w:r>
            <w:r>
              <w:rPr>
                <w:webHidden/>
              </w:rPr>
              <w:instrText xml:space="preserve">PAGEREF _Toc221016962 \h</w:instrText>
            </w:r>
            <w:r>
              <w:rPr>
                <w:webHidden/>
              </w:rPr>
              <w:fldChar w:fldCharType="separate"/>
            </w:r>
            <w:r>
              <w:rPr>
                <w:rStyle w:val="Style14"/>
              </w:rPr>
              <w:tab/>
              <w:t>3</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2"/>
              <w:szCs w:val="22"/>
            </w:rPr>
          </w:pPr>
          <w:hyperlink w:anchor="_Toc221016963">
            <w:r>
              <w:rPr>
                <w:webHidden/>
                <w:rStyle w:val="Style14"/>
                <w:rFonts w:eastAsia="Calibri"/>
                <w:iCs/>
                <w:vanish w:val="false"/>
              </w:rPr>
              <w:t>1.1.</w:t>
            </w:r>
            <w:r>
              <w:rPr>
                <w:rStyle w:val="Style14"/>
                <w:rFonts w:eastAsia="" w:cs="" w:ascii="Calibri" w:hAnsi="Calibri" w:asciiTheme="minorHAnsi" w:cstheme="minorBidi" w:eastAsiaTheme="minorEastAsia" w:hAnsiTheme="minorHAnsi"/>
                <w:sz w:val="22"/>
                <w:szCs w:val="22"/>
              </w:rPr>
              <w:tab/>
            </w:r>
            <w:r>
              <w:rPr>
                <w:rStyle w:val="Style14"/>
                <w:rFonts w:eastAsia="Calibri"/>
              </w:rPr>
              <w:t>Обозначения и сокращения</w:t>
            </w:r>
            <w:r>
              <w:rPr>
                <w:webHidden/>
              </w:rPr>
              <w:fldChar w:fldCharType="begin"/>
            </w:r>
            <w:r>
              <w:rPr>
                <w:webHidden/>
              </w:rPr>
              <w:instrText xml:space="preserve">PAGEREF _Toc221016963 \h</w:instrText>
            </w:r>
            <w:r>
              <w:rPr>
                <w:webHidden/>
              </w:rPr>
              <w:fldChar w:fldCharType="separate"/>
            </w:r>
            <w:r>
              <w:rPr>
                <w:rStyle w:val="Style14"/>
              </w:rPr>
              <w:tab/>
              <w:t>3</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2"/>
              <w:szCs w:val="22"/>
            </w:rPr>
          </w:pPr>
          <w:hyperlink w:anchor="_Toc221016964">
            <w:r>
              <w:rPr>
                <w:webHidden/>
                <w:rStyle w:val="Style14"/>
                <w:rFonts w:eastAsia="Calibri"/>
                <w:iCs/>
                <w:vanish w:val="false"/>
              </w:rPr>
              <w:t>1.2.</w:t>
            </w:r>
            <w:r>
              <w:rPr>
                <w:rStyle w:val="Style14"/>
                <w:rFonts w:eastAsia="" w:cs="" w:ascii="Calibri" w:hAnsi="Calibri" w:asciiTheme="minorHAnsi" w:cstheme="minorBidi" w:eastAsiaTheme="minorEastAsia" w:hAnsiTheme="minorHAnsi"/>
                <w:sz w:val="22"/>
                <w:szCs w:val="22"/>
              </w:rPr>
              <w:tab/>
            </w:r>
            <w:r>
              <w:rPr>
                <w:rStyle w:val="Style14"/>
                <w:rFonts w:eastAsia="Calibri"/>
              </w:rPr>
              <w:t>Наименование закупаемых работ:</w:t>
            </w:r>
            <w:r>
              <w:rPr>
                <w:webHidden/>
              </w:rPr>
              <w:fldChar w:fldCharType="begin"/>
            </w:r>
            <w:r>
              <w:rPr>
                <w:webHidden/>
              </w:rPr>
              <w:instrText xml:space="preserve">PAGEREF _Toc221016964 \h</w:instrText>
            </w:r>
            <w:r>
              <w:rPr>
                <w:webHidden/>
              </w:rPr>
              <w:fldChar w:fldCharType="separate"/>
            </w:r>
            <w:r>
              <w:rPr>
                <w:rStyle w:val="Style14"/>
              </w:rPr>
              <w:tab/>
              <w:t>4</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2"/>
              <w:szCs w:val="22"/>
            </w:rPr>
          </w:pPr>
          <w:hyperlink w:anchor="_Toc221016965">
            <w:r>
              <w:rPr>
                <w:webHidden/>
                <w:rStyle w:val="Style14"/>
                <w:rFonts w:eastAsia="Calibri"/>
                <w:iCs/>
                <w:vanish w:val="false"/>
              </w:rPr>
              <w:t>1.3.</w:t>
            </w:r>
            <w:r>
              <w:rPr>
                <w:rStyle w:val="Style14"/>
                <w:rFonts w:eastAsia="" w:cs="" w:ascii="Calibri" w:hAnsi="Calibri" w:asciiTheme="minorHAnsi" w:cstheme="minorBidi" w:eastAsiaTheme="minorEastAsia" w:hAnsiTheme="minorHAnsi"/>
                <w:sz w:val="22"/>
                <w:szCs w:val="22"/>
              </w:rPr>
              <w:tab/>
            </w:r>
            <w:r>
              <w:rPr>
                <w:rStyle w:val="Style14"/>
                <w:rFonts w:eastAsia="Calibri"/>
              </w:rPr>
              <w:t>Цель выполнения работ</w:t>
            </w:r>
            <w:r>
              <w:rPr>
                <w:webHidden/>
              </w:rPr>
              <w:fldChar w:fldCharType="begin"/>
            </w:r>
            <w:r>
              <w:rPr>
                <w:webHidden/>
              </w:rPr>
              <w:instrText xml:space="preserve">PAGEREF _Toc221016965 \h</w:instrText>
            </w:r>
            <w:r>
              <w:rPr>
                <w:webHidden/>
              </w:rPr>
              <w:fldChar w:fldCharType="separate"/>
            </w:r>
            <w:r>
              <w:rPr>
                <w:rStyle w:val="Style14"/>
              </w:rPr>
              <w:tab/>
              <w:t>4</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2"/>
              <w:szCs w:val="22"/>
            </w:rPr>
          </w:pPr>
          <w:hyperlink w:anchor="_Toc221016966">
            <w:r>
              <w:rPr>
                <w:webHidden/>
                <w:rStyle w:val="Style14"/>
                <w:rFonts w:eastAsia="Calibri"/>
                <w:iCs/>
                <w:vanish w:val="false"/>
              </w:rPr>
              <w:t>1.4.</w:t>
            </w:r>
            <w:r>
              <w:rPr>
                <w:rStyle w:val="Style14"/>
                <w:rFonts w:eastAsia="" w:cs="" w:ascii="Calibri" w:hAnsi="Calibri" w:asciiTheme="minorHAnsi" w:cstheme="minorBidi" w:eastAsiaTheme="minorEastAsia" w:hAnsiTheme="minorHAnsi"/>
                <w:sz w:val="22"/>
                <w:szCs w:val="22"/>
              </w:rPr>
              <w:tab/>
            </w:r>
            <w:r>
              <w:rPr>
                <w:rStyle w:val="Style14"/>
                <w:rFonts w:eastAsia="Calibri"/>
              </w:rPr>
              <w:t>Существующее положение</w:t>
            </w:r>
            <w:r>
              <w:rPr>
                <w:webHidden/>
              </w:rPr>
              <w:fldChar w:fldCharType="begin"/>
            </w:r>
            <w:r>
              <w:rPr>
                <w:webHidden/>
              </w:rPr>
              <w:instrText xml:space="preserve">PAGEREF _Toc221016966 \h</w:instrText>
            </w:r>
            <w:r>
              <w:rPr>
                <w:webHidden/>
              </w:rPr>
              <w:fldChar w:fldCharType="separate"/>
            </w:r>
            <w:r>
              <w:rPr>
                <w:rStyle w:val="Style14"/>
              </w:rPr>
              <w:tab/>
              <w:t>4</w:t>
            </w:r>
            <w:r>
              <w:rPr>
                <w:webHidden/>
              </w:rPr>
              <w:fldChar w:fldCharType="end"/>
            </w:r>
          </w:hyperlink>
        </w:p>
        <w:p>
          <w:pPr>
            <w:pStyle w:val="TOC1"/>
            <w:rPr>
              <w:rFonts w:ascii="Calibri" w:hAnsi="Calibri" w:eastAsia="" w:cs="" w:asciiTheme="minorHAnsi" w:cstheme="minorBidi" w:eastAsiaTheme="minorEastAsia" w:hAnsiTheme="minorHAnsi"/>
              <w:b w:val="false"/>
              <w:bCs w:val="false"/>
              <w:sz w:val="22"/>
              <w:szCs w:val="22"/>
            </w:rPr>
          </w:pPr>
          <w:hyperlink w:anchor="_Toc221016967">
            <w:r>
              <w:rPr>
                <w:webHidden/>
                <w:rStyle w:val="Style14"/>
                <w:rFonts w:eastAsia="Calibri"/>
                <w:vanish w:val="false"/>
              </w:rPr>
              <w:t>Таблица 1. Перечень объектов Заказчика</w:t>
            </w:r>
            <w:r>
              <w:rPr>
                <w:rStyle w:val="Style14"/>
              </w:rPr>
              <w:tab/>
            </w:r>
            <w:r>
              <w:rPr>
                <w:webHidden/>
              </w:rPr>
              <w:fldChar w:fldCharType="begin"/>
            </w:r>
            <w:r>
              <w:rPr>
                <w:webHidden/>
              </w:rPr>
              <w:instrText xml:space="preserve">PAGEREF _Toc221016967 \h</w:instrText>
            </w:r>
            <w:r>
              <w:rPr>
                <w:webHidden/>
              </w:rPr>
              <w:fldChar w:fldCharType="separate"/>
            </w:r>
            <w:r>
              <w:rPr>
                <w:rStyle w:val="Style14"/>
                <w:lang w:val="en-US"/>
              </w:rPr>
              <w:t>5</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2"/>
              <w:szCs w:val="22"/>
            </w:rPr>
          </w:pPr>
          <w:hyperlink w:anchor="_Toc221016968">
            <w:r>
              <w:rPr>
                <w:webHidden/>
                <w:rStyle w:val="Style14"/>
                <w:rFonts w:eastAsia="Calibri"/>
                <w:iCs/>
                <w:vanish w:val="false"/>
              </w:rPr>
              <w:t>1.5.</w:t>
            </w:r>
            <w:r>
              <w:rPr>
                <w:rStyle w:val="Style14"/>
                <w:rFonts w:eastAsia="" w:cs="" w:ascii="Calibri" w:hAnsi="Calibri" w:asciiTheme="minorHAnsi" w:cstheme="minorBidi" w:eastAsiaTheme="minorEastAsia" w:hAnsiTheme="minorHAnsi"/>
                <w:sz w:val="22"/>
                <w:szCs w:val="22"/>
              </w:rPr>
              <w:tab/>
            </w:r>
            <w:r>
              <w:rPr>
                <w:rStyle w:val="Style14"/>
                <w:rFonts w:eastAsia="Calibri"/>
              </w:rPr>
              <w:t>Информация в отношении исполнения договора, которая должна быть учтена при подготовке заявки (в том числе перечень ресурсов, услуг и документов, предоставляемых Заказчиком на этапе исполнения договора)</w:t>
            </w:r>
            <w:r>
              <w:rPr>
                <w:webHidden/>
              </w:rPr>
              <w:fldChar w:fldCharType="begin"/>
            </w:r>
            <w:r>
              <w:rPr>
                <w:webHidden/>
              </w:rPr>
              <w:instrText xml:space="preserve">PAGEREF _Toc221016968 \h</w:instrText>
            </w:r>
            <w:r>
              <w:rPr>
                <w:webHidden/>
              </w:rPr>
              <w:fldChar w:fldCharType="separate"/>
            </w:r>
            <w:r>
              <w:rPr>
                <w:rStyle w:val="Style14"/>
              </w:rPr>
              <w:tab/>
              <w:t>5</w:t>
            </w:r>
            <w:r>
              <w:rPr>
                <w:webHidden/>
              </w:rPr>
              <w:fldChar w:fldCharType="end"/>
            </w:r>
          </w:hyperlink>
        </w:p>
        <w:p>
          <w:pPr>
            <w:pStyle w:val="TOC1"/>
            <w:tabs>
              <w:tab w:val="left" w:pos="567" w:leader="none"/>
              <w:tab w:val="right" w:pos="9911" w:leader="dot"/>
            </w:tabs>
            <w:rPr>
              <w:rFonts w:ascii="Calibri" w:hAnsi="Calibri" w:eastAsia="" w:cs="" w:asciiTheme="minorHAnsi" w:cstheme="minorBidi" w:eastAsiaTheme="minorEastAsia" w:hAnsiTheme="minorHAnsi"/>
              <w:b w:val="false"/>
              <w:bCs w:val="false"/>
              <w:sz w:val="22"/>
              <w:szCs w:val="22"/>
            </w:rPr>
          </w:pPr>
          <w:hyperlink w:anchor="_Toc221016969">
            <w:r>
              <w:rPr>
                <w:webHidden/>
                <w:rStyle w:val="Style14"/>
                <w:rFonts w:eastAsia="Calibri"/>
                <w:vanish w:val="false"/>
              </w:rPr>
              <w:t>2.</w:t>
            </w:r>
            <w:r>
              <w:rPr>
                <w:rStyle w:val="Style14"/>
                <w:rFonts w:eastAsia="" w:cs="" w:ascii="Calibri" w:hAnsi="Calibri" w:asciiTheme="minorHAnsi" w:cstheme="minorBidi" w:eastAsiaTheme="minorEastAsia" w:hAnsiTheme="minorHAnsi"/>
                <w:b w:val="false"/>
                <w:bCs w:val="false"/>
                <w:sz w:val="22"/>
                <w:szCs w:val="22"/>
              </w:rPr>
              <w:tab/>
            </w:r>
            <w:r>
              <w:rPr>
                <w:rStyle w:val="Style14"/>
                <w:rFonts w:eastAsia="Calibri"/>
                <w:iCs/>
              </w:rPr>
              <w:t>Требования к работам</w:t>
            </w:r>
            <w:r>
              <w:rPr>
                <w:webHidden/>
              </w:rPr>
              <w:fldChar w:fldCharType="begin"/>
            </w:r>
            <w:r>
              <w:rPr>
                <w:webHidden/>
              </w:rPr>
              <w:instrText xml:space="preserve">PAGEREF _Toc221016969 \h</w:instrText>
            </w:r>
            <w:r>
              <w:rPr>
                <w:webHidden/>
              </w:rPr>
              <w:fldChar w:fldCharType="separate"/>
            </w:r>
            <w:r>
              <w:rPr>
                <w:rStyle w:val="Style14"/>
              </w:rPr>
              <w:tab/>
              <w:t>5</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2"/>
              <w:szCs w:val="22"/>
            </w:rPr>
          </w:pPr>
          <w:hyperlink w:anchor="_Toc221016970">
            <w:r>
              <w:rPr>
                <w:webHidden/>
                <w:rStyle w:val="Style14"/>
                <w:rFonts w:eastAsia="Calibri"/>
                <w:iCs/>
                <w:vanish w:val="false"/>
              </w:rPr>
              <w:t>2.1.</w:t>
            </w:r>
            <w:r>
              <w:rPr>
                <w:rStyle w:val="Style14"/>
                <w:rFonts w:eastAsia="" w:cs="" w:ascii="Calibri" w:hAnsi="Calibri" w:asciiTheme="minorHAnsi" w:cstheme="minorBidi" w:eastAsiaTheme="minorEastAsia" w:hAnsiTheme="minorHAnsi"/>
                <w:sz w:val="22"/>
                <w:szCs w:val="22"/>
              </w:rPr>
              <w:tab/>
            </w:r>
            <w:r>
              <w:rPr>
                <w:rStyle w:val="Style14"/>
                <w:rFonts w:eastAsia="Calibri"/>
              </w:rPr>
              <w:t>Требования к объемам и срокам выполнения работ</w:t>
            </w:r>
            <w:r>
              <w:rPr>
                <w:webHidden/>
              </w:rPr>
              <w:fldChar w:fldCharType="begin"/>
            </w:r>
            <w:r>
              <w:rPr>
                <w:webHidden/>
              </w:rPr>
              <w:instrText xml:space="preserve">PAGEREF _Toc221016970 \h</w:instrText>
            </w:r>
            <w:r>
              <w:rPr>
                <w:webHidden/>
              </w:rPr>
              <w:fldChar w:fldCharType="separate"/>
            </w:r>
            <w:r>
              <w:rPr>
                <w:rStyle w:val="Style14"/>
              </w:rPr>
              <w:tab/>
              <w:t>5</w:t>
            </w:r>
            <w:r>
              <w:rPr>
                <w:webHidden/>
              </w:rPr>
              <w:fldChar w:fldCharType="end"/>
            </w:r>
          </w:hyperlink>
        </w:p>
        <w:p>
          <w:pPr>
            <w:pStyle w:val="TOC3"/>
            <w:rPr>
              <w:rFonts w:ascii="Calibri" w:hAnsi="Calibri" w:eastAsia="" w:cs="" w:asciiTheme="minorHAnsi" w:cstheme="minorBidi" w:eastAsiaTheme="minorEastAsia" w:hAnsiTheme="minorHAnsi"/>
              <w:sz w:val="22"/>
              <w:szCs w:val="22"/>
            </w:rPr>
          </w:pPr>
          <w:hyperlink w:anchor="_Toc221016971">
            <w:r>
              <w:rPr>
                <w:webHidden/>
                <w:rStyle w:val="Style14"/>
                <w:rFonts w:eastAsia="Calibri"/>
                <w:vanish w:val="false"/>
              </w:rPr>
              <w:t>2.1.1.</w:t>
            </w:r>
            <w:r>
              <w:rPr>
                <w:rStyle w:val="Style14"/>
                <w:rFonts w:eastAsia="" w:cs="" w:ascii="Calibri" w:hAnsi="Calibri" w:asciiTheme="minorHAnsi" w:cstheme="minorBidi" w:eastAsiaTheme="minorEastAsia" w:hAnsiTheme="minorHAnsi"/>
                <w:sz w:val="22"/>
                <w:szCs w:val="22"/>
              </w:rPr>
              <w:tab/>
            </w:r>
            <w:r>
              <w:rPr>
                <w:rStyle w:val="Style14"/>
                <w:rFonts w:eastAsia="Calibri"/>
              </w:rPr>
              <w:t>Требования к видам и объемам работ</w:t>
            </w:r>
            <w:r>
              <w:rPr>
                <w:webHidden/>
              </w:rPr>
              <w:fldChar w:fldCharType="begin"/>
            </w:r>
            <w:r>
              <w:rPr>
                <w:webHidden/>
              </w:rPr>
              <w:instrText xml:space="preserve">PAGEREF _Toc221016971 \h</w:instrText>
            </w:r>
            <w:r>
              <w:rPr>
                <w:webHidden/>
              </w:rPr>
              <w:fldChar w:fldCharType="separate"/>
            </w:r>
            <w:r>
              <w:rPr>
                <w:rStyle w:val="Style14"/>
              </w:rPr>
              <w:tab/>
              <w:t>5</w:t>
            </w:r>
            <w:r>
              <w:rPr>
                <w:webHidden/>
              </w:rPr>
              <w:fldChar w:fldCharType="end"/>
            </w:r>
          </w:hyperlink>
        </w:p>
        <w:p>
          <w:pPr>
            <w:pStyle w:val="TOC1"/>
            <w:rPr>
              <w:rFonts w:ascii="Calibri" w:hAnsi="Calibri" w:eastAsia="" w:cs="" w:asciiTheme="minorHAnsi" w:cstheme="minorBidi" w:eastAsiaTheme="minorEastAsia" w:hAnsiTheme="minorHAnsi"/>
              <w:b w:val="false"/>
              <w:bCs w:val="false"/>
              <w:sz w:val="22"/>
              <w:szCs w:val="22"/>
            </w:rPr>
          </w:pPr>
          <w:hyperlink w:anchor="_Toc221016972">
            <w:r>
              <w:rPr>
                <w:webHidden/>
                <w:rStyle w:val="Style14"/>
                <w:rFonts w:eastAsia="Calibri"/>
                <w:vanish w:val="false"/>
              </w:rPr>
              <w:t>Таблица 2. Перечень и объем выполняемых работ</w:t>
            </w:r>
            <w:r>
              <w:rPr>
                <w:webHidden/>
              </w:rPr>
              <w:fldChar w:fldCharType="begin"/>
            </w:r>
            <w:r>
              <w:rPr>
                <w:webHidden/>
              </w:rPr>
              <w:instrText xml:space="preserve">PAGEREF _Toc221016972 \h</w:instrText>
            </w:r>
            <w:r>
              <w:rPr>
                <w:webHidden/>
              </w:rPr>
              <w:fldChar w:fldCharType="separate"/>
            </w:r>
            <w:r>
              <w:rPr>
                <w:rStyle w:val="Style14"/>
              </w:rPr>
              <w:tab/>
              <w:t>5</w:t>
            </w:r>
            <w:r>
              <w:rPr>
                <w:webHidden/>
              </w:rPr>
              <w:fldChar w:fldCharType="end"/>
            </w:r>
          </w:hyperlink>
        </w:p>
        <w:p>
          <w:pPr>
            <w:pStyle w:val="TOC3"/>
            <w:rPr>
              <w:rFonts w:ascii="Calibri" w:hAnsi="Calibri" w:eastAsia="" w:cs="" w:asciiTheme="minorHAnsi" w:cstheme="minorBidi" w:eastAsiaTheme="minorEastAsia" w:hAnsiTheme="minorHAnsi"/>
              <w:sz w:val="22"/>
              <w:szCs w:val="22"/>
            </w:rPr>
          </w:pPr>
          <w:hyperlink w:anchor="_Toc221016973">
            <w:r>
              <w:rPr>
                <w:webHidden/>
                <w:rStyle w:val="Style14"/>
                <w:rFonts w:eastAsia="Calibri"/>
                <w:vanish w:val="false"/>
              </w:rPr>
              <w:t>2.1.2.</w:t>
            </w:r>
            <w:r>
              <w:rPr>
                <w:rStyle w:val="Style14"/>
                <w:rFonts w:eastAsia="" w:cs="" w:ascii="Calibri" w:hAnsi="Calibri" w:asciiTheme="minorHAnsi" w:cstheme="minorBidi" w:eastAsiaTheme="minorEastAsia" w:hAnsiTheme="minorHAnsi"/>
                <w:sz w:val="22"/>
                <w:szCs w:val="22"/>
              </w:rPr>
              <w:tab/>
            </w:r>
            <w:r>
              <w:rPr>
                <w:rStyle w:val="Style14"/>
                <w:rFonts w:eastAsia="Calibri"/>
              </w:rPr>
              <w:t>Требования к срокам выполнения работ</w:t>
            </w:r>
            <w:r>
              <w:rPr>
                <w:rStyle w:val="Style14"/>
              </w:rPr>
              <w:tab/>
            </w:r>
            <w:r>
              <w:rPr>
                <w:webHidden/>
              </w:rPr>
              <w:fldChar w:fldCharType="begin"/>
            </w:r>
            <w:r>
              <w:rPr>
                <w:webHidden/>
              </w:rPr>
              <w:instrText xml:space="preserve">PAGEREF _Toc221016973 \h</w:instrText>
            </w:r>
            <w:r>
              <w:rPr>
                <w:webHidden/>
              </w:rPr>
              <w:fldChar w:fldCharType="separate"/>
            </w:r>
            <w:r>
              <w:rPr>
                <w:rStyle w:val="Style14"/>
                <w:lang w:val="en-US"/>
              </w:rPr>
              <w:t>5</w:t>
            </w:r>
            <w:r>
              <w:rPr>
                <w:webHidden/>
              </w:rPr>
              <w:fldChar w:fldCharType="end"/>
            </w:r>
          </w:hyperlink>
        </w:p>
        <w:p>
          <w:pPr>
            <w:pStyle w:val="TOC1"/>
            <w:rPr>
              <w:rFonts w:ascii="Calibri" w:hAnsi="Calibri" w:eastAsia="" w:cs="" w:asciiTheme="minorHAnsi" w:cstheme="minorBidi" w:eastAsiaTheme="minorEastAsia" w:hAnsiTheme="minorHAnsi"/>
              <w:b w:val="false"/>
              <w:bCs w:val="false"/>
              <w:sz w:val="22"/>
              <w:szCs w:val="22"/>
            </w:rPr>
          </w:pPr>
          <w:hyperlink w:anchor="_Toc221016974">
            <w:r>
              <w:rPr>
                <w:webHidden/>
                <w:rStyle w:val="Style14"/>
                <w:rFonts w:eastAsia="Calibri"/>
                <w:vanish w:val="false"/>
              </w:rPr>
              <w:t>Таблица 3. Требования по срокам выполнения работ</w:t>
            </w:r>
            <w:r>
              <w:rPr>
                <w:rStyle w:val="Style14"/>
              </w:rPr>
              <w:tab/>
            </w:r>
            <w:r>
              <w:rPr>
                <w:webHidden/>
              </w:rPr>
              <w:fldChar w:fldCharType="begin"/>
            </w:r>
            <w:r>
              <w:rPr>
                <w:webHidden/>
              </w:rPr>
              <w:instrText xml:space="preserve">PAGEREF _Toc221016974 \h</w:instrText>
            </w:r>
            <w:r>
              <w:rPr>
                <w:webHidden/>
              </w:rPr>
              <w:fldChar w:fldCharType="separate"/>
            </w:r>
            <w:r>
              <w:rPr>
                <w:rStyle w:val="Style14"/>
                <w:lang w:val="en-US"/>
              </w:rPr>
              <w:t>6</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2"/>
              <w:szCs w:val="22"/>
            </w:rPr>
          </w:pPr>
          <w:hyperlink w:anchor="_Toc221016975">
            <w:r>
              <w:rPr>
                <w:webHidden/>
                <w:rStyle w:val="Style14"/>
                <w:rFonts w:eastAsia="Calibri"/>
                <w:iCs/>
                <w:vanish w:val="false"/>
              </w:rPr>
              <w:t>2.2.</w:t>
            </w:r>
            <w:r>
              <w:rPr>
                <w:rStyle w:val="Style14"/>
                <w:rFonts w:eastAsia="" w:cs="" w:ascii="Calibri" w:hAnsi="Calibri" w:asciiTheme="minorHAnsi" w:cstheme="minorBidi" w:eastAsiaTheme="minorEastAsia" w:hAnsiTheme="minorHAnsi"/>
                <w:sz w:val="22"/>
                <w:szCs w:val="22"/>
              </w:rPr>
              <w:tab/>
            </w:r>
            <w:r>
              <w:rPr>
                <w:rStyle w:val="Style14"/>
                <w:rFonts w:eastAsia="Calibri"/>
              </w:rPr>
              <w:t>Требования к качеству работ</w:t>
            </w:r>
            <w:r>
              <w:rPr>
                <w:rStyle w:val="Style14"/>
              </w:rPr>
              <w:tab/>
            </w:r>
            <w:r>
              <w:rPr>
                <w:webHidden/>
              </w:rPr>
              <w:fldChar w:fldCharType="begin"/>
            </w:r>
            <w:r>
              <w:rPr>
                <w:webHidden/>
              </w:rPr>
              <w:instrText xml:space="preserve">PAGEREF _Toc221016975 \h</w:instrText>
            </w:r>
            <w:r>
              <w:rPr>
                <w:webHidden/>
              </w:rPr>
              <w:fldChar w:fldCharType="separate"/>
            </w:r>
            <w:r>
              <w:rPr>
                <w:rStyle w:val="Style14"/>
                <w:lang w:val="en-US"/>
              </w:rPr>
              <w:t>7</w:t>
            </w:r>
            <w:r>
              <w:rPr>
                <w:webHidden/>
              </w:rPr>
              <w:fldChar w:fldCharType="end"/>
            </w:r>
          </w:hyperlink>
        </w:p>
        <w:p>
          <w:pPr>
            <w:pStyle w:val="TOC1"/>
            <w:rPr>
              <w:rFonts w:ascii="Calibri" w:hAnsi="Calibri" w:eastAsia="" w:cs="" w:asciiTheme="minorHAnsi" w:cstheme="minorBidi" w:eastAsiaTheme="minorEastAsia" w:hAnsiTheme="minorHAnsi"/>
              <w:b w:val="false"/>
              <w:bCs w:val="false"/>
              <w:sz w:val="22"/>
              <w:szCs w:val="22"/>
            </w:rPr>
          </w:pPr>
          <w:hyperlink w:anchor="_Toc221016976">
            <w:r>
              <w:rPr>
                <w:webHidden/>
                <w:rStyle w:val="Style14"/>
                <w:rFonts w:eastAsia="Calibri"/>
                <w:vanish w:val="false"/>
              </w:rPr>
              <w:t>Таблица 4. Требования к качеству работ: ОКПД2…</w:t>
            </w:r>
            <w:r>
              <w:rPr>
                <w:rStyle w:val="Style14"/>
                <w:rFonts w:eastAsia="Calibri"/>
                <w:lang w:val="en-US"/>
              </w:rPr>
              <w:t>…</w:t>
            </w:r>
            <w:r>
              <w:rPr>
                <w:rStyle w:val="Style14"/>
                <w:rFonts w:eastAsia="Calibri"/>
              </w:rPr>
              <w:t xml:space="preserve"> Выполнение работ по техническому перевооружению системы вентиляции ФВР5 станционного маслохозяйства Новосибирской ГЭС</w:t>
            </w:r>
            <w:r>
              <w:rPr>
                <w:rStyle w:val="Style14"/>
              </w:rPr>
              <w:tab/>
            </w:r>
            <w:r>
              <w:rPr>
                <w:webHidden/>
              </w:rPr>
              <w:fldChar w:fldCharType="begin"/>
            </w:r>
            <w:r>
              <w:rPr>
                <w:webHidden/>
              </w:rPr>
              <w:instrText xml:space="preserve">PAGEREF _Toc221016976 \h</w:instrText>
            </w:r>
            <w:r>
              <w:rPr>
                <w:webHidden/>
              </w:rPr>
              <w:fldChar w:fldCharType="separate"/>
            </w:r>
            <w:r>
              <w:rPr>
                <w:rStyle w:val="Style14"/>
                <w:lang w:val="en-US"/>
              </w:rPr>
              <w:t>7</w:t>
            </w:r>
            <w:r>
              <w:rPr>
                <w:webHidden/>
              </w:rPr>
              <w:fldChar w:fldCharType="end"/>
            </w:r>
          </w:hyperlink>
        </w:p>
        <w:p>
          <w:pPr>
            <w:pStyle w:val="TOC1"/>
            <w:tabs>
              <w:tab w:val="left" w:pos="567" w:leader="none"/>
              <w:tab w:val="right" w:pos="9911" w:leader="dot"/>
            </w:tabs>
            <w:rPr>
              <w:rFonts w:ascii="Calibri" w:hAnsi="Calibri" w:eastAsia="" w:cs="" w:asciiTheme="minorHAnsi" w:cstheme="minorBidi" w:eastAsiaTheme="minorEastAsia" w:hAnsiTheme="minorHAnsi"/>
              <w:b w:val="false"/>
              <w:bCs w:val="false"/>
              <w:sz w:val="22"/>
              <w:szCs w:val="22"/>
            </w:rPr>
          </w:pPr>
          <w:hyperlink w:anchor="_Toc221016984">
            <w:r>
              <w:rPr>
                <w:webHidden/>
                <w:rStyle w:val="Style14"/>
                <w:rFonts w:eastAsia="Calibri"/>
                <w:vanish w:val="false"/>
              </w:rPr>
              <w:t>3.</w:t>
            </w:r>
            <w:r>
              <w:rPr>
                <w:rStyle w:val="Style14"/>
                <w:rFonts w:eastAsia="" w:cs="" w:ascii="Calibri" w:hAnsi="Calibri" w:asciiTheme="minorHAnsi" w:cstheme="minorBidi" w:eastAsiaTheme="minorEastAsia" w:hAnsiTheme="minorHAnsi"/>
                <w:b w:val="false"/>
                <w:bCs w:val="false"/>
                <w:sz w:val="22"/>
                <w:szCs w:val="22"/>
              </w:rPr>
              <w:tab/>
            </w:r>
            <w:r>
              <w:rPr>
                <w:rStyle w:val="Style14"/>
                <w:rFonts w:eastAsia="Calibri"/>
              </w:rPr>
              <w:t>Требования к документации по ценообразованию на этапе закупки</w:t>
            </w:r>
            <w:r>
              <w:rPr>
                <w:rStyle w:val="Style14"/>
              </w:rPr>
              <w:tab/>
              <w:t>2</w:t>
            </w:r>
            <w:r>
              <w:rPr>
                <w:webHidden/>
              </w:rPr>
              <w:fldChar w:fldCharType="begin"/>
            </w:r>
            <w:r>
              <w:rPr>
                <w:webHidden/>
              </w:rPr>
              <w:instrText xml:space="preserve">PAGEREF _Toc221016984 \h</w:instrText>
            </w:r>
            <w:r>
              <w:rPr>
                <w:webHidden/>
              </w:rPr>
              <w:fldChar w:fldCharType="separate"/>
            </w:r>
            <w:r>
              <w:rPr>
                <w:rStyle w:val="Style14"/>
                <w:vanish w:val="false"/>
                <w:lang w:val="en-US"/>
              </w:rPr>
              <w:t>3</w:t>
            </w:r>
            <w:r>
              <w:rPr>
                <w:webHidden/>
              </w:rPr>
              <w:fldChar w:fldCharType="end"/>
            </w:r>
          </w:hyperlink>
        </w:p>
        <w:p>
          <w:pPr>
            <w:pStyle w:val="TOC1"/>
            <w:tabs>
              <w:tab w:val="left" w:pos="567" w:leader="none"/>
              <w:tab w:val="right" w:pos="9911" w:leader="dot"/>
            </w:tabs>
            <w:rPr>
              <w:rFonts w:ascii="Calibri" w:hAnsi="Calibri" w:eastAsia="" w:cs="" w:asciiTheme="minorHAnsi" w:cstheme="minorBidi" w:eastAsiaTheme="minorEastAsia" w:hAnsiTheme="minorHAnsi"/>
              <w:b w:val="false"/>
              <w:bCs w:val="false"/>
              <w:sz w:val="22"/>
              <w:szCs w:val="22"/>
            </w:rPr>
          </w:pPr>
          <w:hyperlink w:anchor="_Toc221016985">
            <w:r>
              <w:rPr>
                <w:webHidden/>
                <w:rStyle w:val="Style14"/>
                <w:rFonts w:eastAsia="Calibri"/>
                <w:vanish w:val="false"/>
              </w:rPr>
              <w:t>4.</w:t>
            </w:r>
            <w:r>
              <w:rPr>
                <w:rStyle w:val="Style14"/>
                <w:rFonts w:eastAsia="" w:cs="" w:ascii="Calibri" w:hAnsi="Calibri" w:asciiTheme="minorHAnsi" w:cstheme="minorBidi" w:eastAsiaTheme="minorEastAsia" w:hAnsiTheme="minorHAnsi"/>
                <w:b w:val="false"/>
                <w:bCs w:val="false"/>
                <w:sz w:val="22"/>
                <w:szCs w:val="22"/>
              </w:rPr>
              <w:tab/>
            </w:r>
            <w:r>
              <w:rPr>
                <w:rStyle w:val="Style14"/>
                <w:rFonts w:eastAsia="Calibri"/>
              </w:rPr>
              <w:t>Требования к документации по ценообразованию на этапе заключения договора</w:t>
            </w:r>
            <w:r>
              <w:rPr>
                <w:rStyle w:val="Style14"/>
              </w:rPr>
              <w:tab/>
              <w:t>2</w:t>
            </w:r>
            <w:r>
              <w:rPr>
                <w:webHidden/>
              </w:rPr>
              <w:fldChar w:fldCharType="begin"/>
            </w:r>
            <w:r>
              <w:rPr>
                <w:webHidden/>
              </w:rPr>
              <w:instrText xml:space="preserve">PAGEREF _Toc221016985 \h</w:instrText>
            </w:r>
            <w:r>
              <w:rPr>
                <w:webHidden/>
              </w:rPr>
              <w:fldChar w:fldCharType="separate"/>
            </w:r>
            <w:r>
              <w:rPr>
                <w:rStyle w:val="Style14"/>
                <w:vanish w:val="false"/>
                <w:lang w:val="en-US"/>
              </w:rPr>
              <w:t>3</w:t>
            </w:r>
            <w:r>
              <w:rPr>
                <w:webHidden/>
              </w:rPr>
              <w:fldChar w:fldCharType="end"/>
            </w:r>
          </w:hyperlink>
        </w:p>
        <w:p>
          <w:pPr>
            <w:pStyle w:val="TOC1"/>
            <w:rPr>
              <w:rFonts w:ascii="Calibri" w:hAnsi="Calibri" w:eastAsia="" w:cs="" w:asciiTheme="minorHAnsi" w:cstheme="minorBidi" w:eastAsiaTheme="minorEastAsia" w:hAnsiTheme="minorHAnsi"/>
              <w:b w:val="false"/>
              <w:bCs w:val="false"/>
              <w:sz w:val="22"/>
              <w:szCs w:val="22"/>
            </w:rPr>
          </w:pPr>
          <w:hyperlink w:anchor="_Toc221016986">
            <w:r>
              <w:rPr>
                <w:webHidden/>
                <w:rStyle w:val="Style14"/>
                <w:rFonts w:eastAsia="Calibri"/>
                <w:iCs/>
                <w:vanish w:val="false"/>
              </w:rPr>
              <w:t xml:space="preserve">5. </w:t>
            </w:r>
            <w:r>
              <w:rPr>
                <w:rStyle w:val="Style14"/>
                <w:rFonts w:eastAsia="Calibri"/>
                <w:iCs/>
                <w:lang w:val="en-US"/>
              </w:rPr>
              <w:t xml:space="preserve">      </w:t>
            </w:r>
            <w:r>
              <w:rPr>
                <w:rStyle w:val="Style14"/>
                <w:rFonts w:eastAsia="Calibri"/>
                <w:iCs/>
              </w:rPr>
              <w:t>Приложения</w:t>
            </w:r>
            <w:r>
              <w:rPr>
                <w:rStyle w:val="Style14"/>
              </w:rPr>
              <w:tab/>
              <w:t>2</w:t>
            </w:r>
          </w:hyperlink>
          <w:r>
            <w:rPr>
              <w:rStyle w:val="Style14"/>
              <w:lang w:val="en-US"/>
            </w:rPr>
            <w:t>4</w:t>
          </w:r>
          <w:r>
            <w:rPr>
              <w:rStyle w:val="Style14"/>
              <w:lang w:val="en-US"/>
            </w:rPr>
            <w:fldChar w:fldCharType="end"/>
          </w:r>
        </w:p>
      </w:sdtContent>
    </w:sdt>
    <w:p>
      <w:pPr>
        <w:pStyle w:val="TOC1"/>
        <w:tabs>
          <w:tab w:val="left" w:pos="560" w:leader="none"/>
          <w:tab w:val="right" w:pos="9911" w:leader="dot"/>
        </w:tabs>
        <w:rPr>
          <w:rFonts w:ascii="Calibri" w:hAnsi="Calibri" w:eastAsia="" w:cs="" w:asciiTheme="minorHAnsi" w:cstheme="minorBidi" w:eastAsiaTheme="minorEastAsia" w:hAnsiTheme="minorHAnsi"/>
          <w:b w:val="false"/>
          <w:bCs w:val="false"/>
          <w:sz w:val="22"/>
          <w:szCs w:val="22"/>
        </w:rPr>
      </w:pPr>
      <w:r>
        <w:rPr>
          <w:rFonts w:eastAsia="" w:cs="" w:cstheme="minorBidi" w:eastAsiaTheme="minorEastAsia" w:ascii="Calibri" w:hAnsi="Calibri"/>
          <w:b w:val="false"/>
          <w:bCs w:val="false"/>
          <w:sz w:val="22"/>
          <w:szCs w:val="22"/>
        </w:rPr>
      </w:r>
    </w:p>
    <w:p>
      <w:pPr>
        <w:pStyle w:val="TOC1"/>
        <w:rPr>
          <w:rFonts w:ascii="Calibri" w:hAnsi="Calibri" w:eastAsia="" w:cs="" w:asciiTheme="minorHAnsi" w:cstheme="minorBidi" w:eastAsiaTheme="minorEastAsia" w:hAnsiTheme="minorHAnsi"/>
          <w:sz w:val="22"/>
          <w:szCs w:val="22"/>
        </w:rPr>
      </w:pPr>
      <w:r>
        <w:rPr>
          <w:rFonts w:eastAsia="" w:cs="" w:cstheme="minorBidi" w:eastAsiaTheme="minorEastAsia" w:ascii="Calibri" w:hAnsi="Calibri"/>
          <w:sz w:val="22"/>
          <w:szCs w:val="22"/>
        </w:rPr>
      </w:r>
    </w:p>
    <w:p>
      <w:pPr>
        <w:pStyle w:val="Heading2"/>
        <w:numPr>
          <w:ilvl w:val="0"/>
        </w:numPr>
        <w:tabs>
          <w:tab w:val="clear" w:pos="0"/>
        </w:tabs>
        <w:ind w:left="0" w:hanging="0"/>
        <w:rPr>
          <w:b w:val="false"/>
          <w:i/>
          <w:i/>
        </w:rPr>
      </w:pPr>
      <w:r>
        <w:rPr>
          <w:b w:val="false"/>
          <w:i/>
        </w:rPr>
      </w:r>
    </w:p>
    <w:p>
      <w:pPr>
        <w:pStyle w:val="Normal"/>
        <w:keepNext w:val="true"/>
        <w:keepLines/>
        <w:jc w:val="center"/>
        <w:rPr>
          <w:rFonts w:eastAsia="Calibri"/>
          <w:b/>
          <w:i/>
          <w:i/>
          <w:sz w:val="24"/>
          <w:szCs w:val="24"/>
        </w:rPr>
      </w:pPr>
      <w:r>
        <w:rPr>
          <w:rFonts w:eastAsia="Calibri"/>
          <w:b/>
          <w:i/>
          <w:sz w:val="24"/>
          <w:szCs w:val="24"/>
        </w:rPr>
      </w:r>
      <w:r>
        <w:br w:type="page"/>
      </w:r>
    </w:p>
    <w:p>
      <w:pPr>
        <w:pStyle w:val="Heading1"/>
        <w:keepLines/>
        <w:numPr>
          <w:ilvl w:val="0"/>
          <w:numId w:val="3"/>
        </w:numPr>
        <w:ind w:left="357" w:hanging="357"/>
        <w:jc w:val="center"/>
        <w:rPr>
          <w:caps/>
          <w:lang w:val="ru-RU"/>
        </w:rPr>
      </w:pPr>
      <w:bookmarkStart w:id="6" w:name="_Toc51339692"/>
      <w:bookmarkStart w:id="7" w:name="_Toc221016962"/>
      <w:r>
        <w:rPr>
          <w:lang w:val="ru-RU"/>
        </w:rPr>
        <w:t>Общие сведения</w:t>
      </w:r>
      <w:bookmarkEnd w:id="6"/>
      <w:bookmarkEnd w:id="7"/>
    </w:p>
    <w:p>
      <w:pPr>
        <w:pStyle w:val="Heading4"/>
        <w:numPr>
          <w:ilvl w:val="1"/>
          <w:numId w:val="3"/>
        </w:numPr>
        <w:rPr/>
      </w:pPr>
      <w:bookmarkStart w:id="8" w:name="_Toc46743505"/>
      <w:bookmarkStart w:id="9" w:name="_Toc221016963"/>
      <w:r>
        <w:rPr/>
        <w:t>Обозначения и сокращения</w:t>
      </w:r>
      <w:bookmarkEnd w:id="8"/>
      <w:bookmarkEnd w:id="9"/>
    </w:p>
    <w:p>
      <w:pPr>
        <w:pStyle w:val="Normal"/>
        <w:rPr>
          <w:rStyle w:val="Style8"/>
          <w:b w:val="false"/>
          <w:bCs/>
          <w:iCs/>
          <w:sz w:val="26"/>
          <w:szCs w:val="26"/>
        </w:rPr>
      </w:pPr>
      <w:r>
        <w:rPr>
          <w:b w:val="false"/>
          <w:bCs/>
          <w:iCs/>
          <w:sz w:val="26"/>
          <w:szCs w:val="26"/>
        </w:rPr>
      </w:r>
    </w:p>
    <w:tbl>
      <w:tblPr>
        <w:tblW w:w="9783" w:type="dxa"/>
        <w:jc w:val="center"/>
        <w:tblInd w:w="0" w:type="dxa"/>
        <w:tblLayout w:type="fixed"/>
        <w:tblCellMar>
          <w:top w:w="0" w:type="dxa"/>
          <w:left w:w="108" w:type="dxa"/>
          <w:bottom w:w="0" w:type="dxa"/>
          <w:right w:w="108" w:type="dxa"/>
        </w:tblCellMar>
        <w:tblLook w:val="04a0" w:noVBand="1" w:noHBand="0" w:lastColumn="0" w:firstColumn="1" w:lastRow="0" w:firstRow="1"/>
      </w:tblPr>
      <w:tblGrid>
        <w:gridCol w:w="4673"/>
        <w:gridCol w:w="5109"/>
      </w:tblGrid>
      <w:tr>
        <w:trPr>
          <w:cantSplit w:val="true"/>
        </w:trPr>
        <w:tc>
          <w:tcPr>
            <w:tcW w:w="467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center"/>
              <w:rPr>
                <w:sz w:val="24"/>
                <w:szCs w:val="24"/>
              </w:rPr>
            </w:pPr>
            <w:r>
              <w:rPr>
                <w:sz w:val="24"/>
                <w:szCs w:val="24"/>
              </w:rPr>
              <w:t>Заказчик</w:t>
            </w:r>
          </w:p>
        </w:tc>
        <w:tc>
          <w:tcPr>
            <w:tcW w:w="51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426" w:leader="none"/>
              </w:tabs>
              <w:spacing w:before="120" w:after="120"/>
              <w:rPr>
                <w:sz w:val="24"/>
                <w:szCs w:val="24"/>
              </w:rPr>
            </w:pPr>
            <w:r>
              <w:rPr>
                <w:sz w:val="24"/>
                <w:szCs w:val="24"/>
              </w:rPr>
              <w:t>ПАО «РусГидро»</w:t>
            </w:r>
          </w:p>
        </w:tc>
      </w:tr>
      <w:tr>
        <w:trPr>
          <w:cantSplit w:val="true"/>
        </w:trPr>
        <w:tc>
          <w:tcPr>
            <w:tcW w:w="467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center"/>
              <w:rPr>
                <w:sz w:val="24"/>
                <w:szCs w:val="24"/>
              </w:rPr>
            </w:pPr>
            <w:r>
              <w:rPr>
                <w:sz w:val="24"/>
                <w:szCs w:val="24"/>
              </w:rPr>
              <w:t>Генеральный подрядчик (Генподрядчик)</w:t>
            </w:r>
          </w:p>
        </w:tc>
        <w:tc>
          <w:tcPr>
            <w:tcW w:w="51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426" w:leader="none"/>
              </w:tabs>
              <w:spacing w:before="120" w:after="120"/>
              <w:rPr>
                <w:sz w:val="24"/>
                <w:szCs w:val="24"/>
              </w:rPr>
            </w:pPr>
            <w:r>
              <w:rPr>
                <w:sz w:val="24"/>
                <w:szCs w:val="24"/>
              </w:rPr>
              <w:t>АО «Гидроремонт-ВКК»</w:t>
            </w:r>
          </w:p>
        </w:tc>
      </w:tr>
      <w:tr>
        <w:trPr>
          <w:cantSplit w:val="true"/>
        </w:trPr>
        <w:tc>
          <w:tcPr>
            <w:tcW w:w="467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center"/>
              <w:rPr>
                <w:sz w:val="24"/>
                <w:szCs w:val="24"/>
              </w:rPr>
            </w:pPr>
            <w:r>
              <w:rPr>
                <w:sz w:val="24"/>
                <w:szCs w:val="24"/>
              </w:rPr>
              <w:t>Субподрядчик</w:t>
            </w:r>
          </w:p>
        </w:tc>
        <w:tc>
          <w:tcPr>
            <w:tcW w:w="51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426" w:leader="none"/>
              </w:tabs>
              <w:spacing w:before="120" w:after="120"/>
              <w:rPr>
                <w:sz w:val="24"/>
                <w:szCs w:val="24"/>
              </w:rPr>
            </w:pPr>
            <w:r>
              <w:rPr>
                <w:sz w:val="24"/>
                <w:szCs w:val="24"/>
              </w:rPr>
              <w:t>Потенциальный исполнитель работ</w:t>
            </w:r>
          </w:p>
        </w:tc>
      </w:tr>
      <w:tr>
        <w:trPr>
          <w:cantSplit w:val="true"/>
        </w:trPr>
        <w:tc>
          <w:tcPr>
            <w:tcW w:w="467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center"/>
              <w:rPr>
                <w:rStyle w:val="Style8"/>
                <w:b w:val="false"/>
                <w:bCs/>
                <w:i w:val="false"/>
                <w:i w:val="false"/>
                <w:iCs/>
                <w:sz w:val="24"/>
                <w:szCs w:val="24"/>
              </w:rPr>
            </w:pPr>
            <w:r>
              <w:rPr>
                <w:sz w:val="24"/>
                <w:szCs w:val="24"/>
              </w:rPr>
              <w:t>ГЭС</w:t>
            </w:r>
          </w:p>
        </w:tc>
        <w:tc>
          <w:tcPr>
            <w:tcW w:w="510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sz w:val="24"/>
                <w:szCs w:val="24"/>
              </w:rPr>
              <w:t>Гидроэлектростанция</w:t>
            </w:r>
          </w:p>
        </w:tc>
      </w:tr>
      <w:tr>
        <w:trPr>
          <w:cantSplit w:val="true"/>
        </w:trPr>
        <w:tc>
          <w:tcPr>
            <w:tcW w:w="467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center"/>
              <w:rPr>
                <w:sz w:val="24"/>
                <w:szCs w:val="24"/>
                <w:lang w:val="en-US"/>
              </w:rPr>
            </w:pPr>
            <w:r>
              <w:rPr>
                <w:sz w:val="24"/>
                <w:szCs w:val="24"/>
                <w:lang w:val="en-US"/>
              </w:rPr>
              <w:t>СМХ</w:t>
            </w:r>
          </w:p>
        </w:tc>
        <w:tc>
          <w:tcPr>
            <w:tcW w:w="510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sz w:val="24"/>
                <w:szCs w:val="24"/>
              </w:rPr>
            </w:pPr>
            <w:r>
              <w:rPr>
                <w:sz w:val="24"/>
                <w:szCs w:val="24"/>
              </w:rPr>
              <w:t>Станционное маслохозяйство</w:t>
            </w:r>
          </w:p>
        </w:tc>
      </w:tr>
      <w:tr>
        <w:trPr>
          <w:cantSplit w:val="true"/>
        </w:trPr>
        <w:tc>
          <w:tcPr>
            <w:tcW w:w="467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center"/>
              <w:rPr>
                <w:rStyle w:val="Style8"/>
                <w:b w:val="false"/>
                <w:bCs/>
                <w:i w:val="false"/>
                <w:i w:val="false"/>
                <w:iCs/>
                <w:sz w:val="24"/>
                <w:szCs w:val="24"/>
              </w:rPr>
            </w:pPr>
            <w:r>
              <w:rPr>
                <w:sz w:val="24"/>
                <w:szCs w:val="24"/>
              </w:rPr>
              <w:t>ПАО</w:t>
            </w:r>
          </w:p>
        </w:tc>
        <w:tc>
          <w:tcPr>
            <w:tcW w:w="510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sz w:val="24"/>
                <w:szCs w:val="24"/>
              </w:rPr>
              <w:t>Публичное акционерное общество</w:t>
            </w:r>
          </w:p>
        </w:tc>
      </w:tr>
      <w:tr>
        <w:trPr>
          <w:cantSplit w:val="true"/>
        </w:trPr>
        <w:tc>
          <w:tcPr>
            <w:tcW w:w="467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center"/>
              <w:rPr>
                <w:rStyle w:val="Style8"/>
                <w:b w:val="false"/>
                <w:bCs/>
                <w:i w:val="false"/>
                <w:i w:val="false"/>
                <w:iCs/>
                <w:sz w:val="24"/>
                <w:szCs w:val="24"/>
                <w:lang w:val="en-US"/>
              </w:rPr>
            </w:pPr>
            <w:r>
              <w:rPr>
                <w:sz w:val="24"/>
                <w:szCs w:val="24"/>
                <w:lang w:val="en-US"/>
              </w:rPr>
              <w:t>АРМ</w:t>
            </w:r>
          </w:p>
        </w:tc>
        <w:tc>
          <w:tcPr>
            <w:tcW w:w="510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lang w:val="en-US"/>
              </w:rPr>
            </w:pPr>
            <w:r>
              <w:rPr>
                <w:sz w:val="24"/>
                <w:szCs w:val="24"/>
              </w:rPr>
              <w:t>Автоматизированное рабочее место</w:t>
            </w:r>
          </w:p>
        </w:tc>
      </w:tr>
      <w:tr>
        <w:trPr>
          <w:cantSplit w:val="true"/>
        </w:trPr>
        <w:tc>
          <w:tcPr>
            <w:tcW w:w="467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center"/>
              <w:rPr>
                <w:sz w:val="24"/>
                <w:szCs w:val="24"/>
              </w:rPr>
            </w:pPr>
            <w:r>
              <w:rPr>
                <w:sz w:val="24"/>
                <w:szCs w:val="24"/>
              </w:rPr>
              <w:t>ППР</w:t>
            </w:r>
          </w:p>
        </w:tc>
        <w:tc>
          <w:tcPr>
            <w:tcW w:w="510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sz w:val="24"/>
                <w:szCs w:val="24"/>
              </w:rPr>
            </w:pPr>
            <w:r>
              <w:rPr>
                <w:sz w:val="24"/>
                <w:szCs w:val="24"/>
              </w:rPr>
              <w:t>Проект производства работ</w:t>
            </w:r>
          </w:p>
        </w:tc>
      </w:tr>
      <w:tr>
        <w:trPr>
          <w:cantSplit w:val="true"/>
        </w:trPr>
        <w:tc>
          <w:tcPr>
            <w:tcW w:w="467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center"/>
              <w:rPr>
                <w:sz w:val="24"/>
                <w:szCs w:val="24"/>
              </w:rPr>
            </w:pPr>
            <w:r>
              <w:rPr>
                <w:sz w:val="24"/>
                <w:szCs w:val="24"/>
              </w:rPr>
              <w:t>ППРв</w:t>
            </w:r>
          </w:p>
        </w:tc>
        <w:tc>
          <w:tcPr>
            <w:tcW w:w="510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sz w:val="24"/>
                <w:szCs w:val="24"/>
              </w:rPr>
            </w:pPr>
            <w:r>
              <w:rPr>
                <w:iCs/>
                <w:sz w:val="24"/>
                <w:szCs w:val="24"/>
              </w:rPr>
              <w:t>План производства работ на высоте</w:t>
            </w:r>
          </w:p>
        </w:tc>
      </w:tr>
      <w:tr>
        <w:trPr>
          <w:cantSplit w:val="true"/>
        </w:trPr>
        <w:tc>
          <w:tcPr>
            <w:tcW w:w="467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center"/>
              <w:rPr>
                <w:sz w:val="24"/>
                <w:szCs w:val="24"/>
              </w:rPr>
            </w:pPr>
            <w:r>
              <w:rPr>
                <w:sz w:val="24"/>
                <w:szCs w:val="24"/>
              </w:rPr>
              <w:t>СМР</w:t>
            </w:r>
          </w:p>
        </w:tc>
        <w:tc>
          <w:tcPr>
            <w:tcW w:w="510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iCs/>
                <w:sz w:val="24"/>
                <w:szCs w:val="24"/>
              </w:rPr>
            </w:pPr>
            <w:r>
              <w:rPr>
                <w:iCs/>
                <w:sz w:val="24"/>
                <w:szCs w:val="24"/>
              </w:rPr>
              <w:t>Строительно-монтажные работы</w:t>
            </w:r>
          </w:p>
        </w:tc>
      </w:tr>
      <w:tr>
        <w:trPr>
          <w:cantSplit w:val="true"/>
        </w:trPr>
        <w:tc>
          <w:tcPr>
            <w:tcW w:w="467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center"/>
              <w:rPr>
                <w:sz w:val="24"/>
                <w:szCs w:val="24"/>
                <w:lang w:val="en-US"/>
              </w:rPr>
            </w:pPr>
            <w:r>
              <w:rPr>
                <w:sz w:val="24"/>
                <w:szCs w:val="24"/>
                <w:lang w:val="en-US"/>
              </w:rPr>
              <w:t>ПНР</w:t>
            </w:r>
          </w:p>
        </w:tc>
        <w:tc>
          <w:tcPr>
            <w:tcW w:w="510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iCs/>
                <w:sz w:val="24"/>
                <w:szCs w:val="24"/>
              </w:rPr>
            </w:pPr>
            <w:r>
              <w:rPr>
                <w:iCs/>
                <w:sz w:val="24"/>
                <w:szCs w:val="24"/>
              </w:rPr>
              <w:t>Пуско-наладочные работы</w:t>
            </w:r>
          </w:p>
        </w:tc>
      </w:tr>
      <w:tr>
        <w:trPr>
          <w:cantSplit w:val="true"/>
        </w:trPr>
        <w:tc>
          <w:tcPr>
            <w:tcW w:w="467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center"/>
              <w:rPr>
                <w:sz w:val="24"/>
                <w:szCs w:val="24"/>
                <w:lang w:val="en-US"/>
              </w:rPr>
            </w:pPr>
            <w:r>
              <w:rPr>
                <w:sz w:val="24"/>
                <w:szCs w:val="24"/>
                <w:lang w:val="en-US"/>
              </w:rPr>
              <w:t>ТТ</w:t>
            </w:r>
          </w:p>
        </w:tc>
        <w:tc>
          <w:tcPr>
            <w:tcW w:w="510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iCs/>
                <w:sz w:val="24"/>
                <w:szCs w:val="24"/>
                <w:lang w:val="en-US"/>
              </w:rPr>
            </w:pPr>
            <w:r>
              <w:rPr>
                <w:iCs/>
                <w:sz w:val="24"/>
                <w:szCs w:val="24"/>
                <w:lang w:val="en-US"/>
              </w:rPr>
              <w:t>Технические требования</w:t>
            </w:r>
          </w:p>
        </w:tc>
      </w:tr>
      <w:tr>
        <w:trPr>
          <w:cantSplit w:val="true"/>
        </w:trPr>
        <w:tc>
          <w:tcPr>
            <w:tcW w:w="467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center"/>
              <w:rPr>
                <w:sz w:val="24"/>
                <w:szCs w:val="24"/>
              </w:rPr>
            </w:pPr>
            <w:r>
              <w:rPr>
                <w:sz w:val="24"/>
                <w:szCs w:val="24"/>
              </w:rPr>
              <w:t>НТД</w:t>
            </w:r>
          </w:p>
        </w:tc>
        <w:tc>
          <w:tcPr>
            <w:tcW w:w="510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rPr>
                <w:iCs/>
                <w:sz w:val="24"/>
                <w:szCs w:val="24"/>
              </w:rPr>
            </w:pPr>
            <w:r>
              <w:rPr>
                <w:iCs/>
                <w:sz w:val="24"/>
                <w:szCs w:val="24"/>
              </w:rPr>
              <w:t>Нормативно-техническая документация</w:t>
            </w:r>
          </w:p>
        </w:tc>
      </w:tr>
      <w:tr>
        <w:trPr>
          <w:cantSplit w:val="true"/>
        </w:trPr>
        <w:tc>
          <w:tcPr>
            <w:tcW w:w="467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center"/>
              <w:rPr>
                <w:sz w:val="24"/>
                <w:szCs w:val="24"/>
              </w:rPr>
            </w:pPr>
            <w:r>
              <w:rPr>
                <w:sz w:val="22"/>
                <w:szCs w:val="22"/>
              </w:rPr>
              <w:t>ВОР</w:t>
            </w:r>
          </w:p>
        </w:tc>
        <w:tc>
          <w:tcPr>
            <w:tcW w:w="510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iCs/>
                <w:sz w:val="24"/>
                <w:szCs w:val="24"/>
              </w:rPr>
            </w:pPr>
            <w:r>
              <w:rPr>
                <w:iCs/>
                <w:sz w:val="24"/>
                <w:szCs w:val="24"/>
              </w:rPr>
              <w:t>Ведомость объемов работ</w:t>
            </w:r>
          </w:p>
        </w:tc>
      </w:tr>
      <w:tr>
        <w:trPr>
          <w:cantSplit w:val="true"/>
        </w:trPr>
        <w:tc>
          <w:tcPr>
            <w:tcW w:w="467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center"/>
              <w:rPr>
                <w:sz w:val="22"/>
                <w:szCs w:val="22"/>
              </w:rPr>
            </w:pPr>
            <w:r>
              <w:rPr>
                <w:sz w:val="22"/>
                <w:szCs w:val="22"/>
              </w:rPr>
              <w:t>ТБО</w:t>
            </w:r>
          </w:p>
        </w:tc>
        <w:tc>
          <w:tcPr>
            <w:tcW w:w="510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iCs/>
                <w:sz w:val="24"/>
                <w:szCs w:val="24"/>
                <w:lang w:val="en-US"/>
              </w:rPr>
            </w:pPr>
            <w:r>
              <w:rPr>
                <w:iCs/>
                <w:sz w:val="24"/>
                <w:szCs w:val="24"/>
                <w:lang w:val="en-US"/>
              </w:rPr>
              <w:t>Твердые бытовые отходы</w:t>
            </w:r>
          </w:p>
        </w:tc>
      </w:tr>
      <w:tr>
        <w:trPr>
          <w:cantSplit w:val="true"/>
        </w:trPr>
        <w:tc>
          <w:tcPr>
            <w:tcW w:w="467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center"/>
              <w:rPr>
                <w:sz w:val="22"/>
                <w:szCs w:val="22"/>
                <w:lang w:val="en-US"/>
              </w:rPr>
            </w:pPr>
            <w:r>
              <w:rPr>
                <w:sz w:val="22"/>
                <w:szCs w:val="22"/>
                <w:lang w:val="en-US"/>
              </w:rPr>
              <w:t>КИП</w:t>
            </w:r>
          </w:p>
        </w:tc>
        <w:tc>
          <w:tcPr>
            <w:tcW w:w="510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iCs/>
                <w:sz w:val="24"/>
                <w:szCs w:val="24"/>
                <w:lang w:val="en-US"/>
              </w:rPr>
            </w:pPr>
            <w:r>
              <w:rPr>
                <w:iCs/>
                <w:sz w:val="24"/>
                <w:szCs w:val="24"/>
                <w:lang w:val="en-US"/>
              </w:rPr>
              <w:t>Контрольно-измерительные приборы</w:t>
            </w:r>
          </w:p>
        </w:tc>
      </w:tr>
      <w:tr>
        <w:trPr>
          <w:cantSplit w:val="true"/>
        </w:trPr>
        <w:tc>
          <w:tcPr>
            <w:tcW w:w="467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center"/>
              <w:rPr>
                <w:sz w:val="22"/>
                <w:szCs w:val="22"/>
                <w:lang w:val="en-US"/>
              </w:rPr>
            </w:pPr>
            <w:r>
              <w:rPr>
                <w:sz w:val="22"/>
                <w:szCs w:val="22"/>
                <w:lang w:val="en-US"/>
              </w:rPr>
              <w:t>МНУ</w:t>
            </w:r>
          </w:p>
        </w:tc>
        <w:tc>
          <w:tcPr>
            <w:tcW w:w="510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iCs/>
                <w:sz w:val="24"/>
                <w:szCs w:val="24"/>
                <w:lang w:val="en-US"/>
              </w:rPr>
            </w:pPr>
            <w:r>
              <w:rPr>
                <w:iCs/>
                <w:sz w:val="24"/>
                <w:szCs w:val="24"/>
                <w:lang w:val="en-US"/>
              </w:rPr>
              <w:t>Маслонапорная установка</w:t>
            </w:r>
          </w:p>
        </w:tc>
      </w:tr>
      <w:tr>
        <w:trPr>
          <w:cantSplit w:val="true"/>
        </w:trPr>
        <w:tc>
          <w:tcPr>
            <w:tcW w:w="467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center"/>
              <w:rPr>
                <w:sz w:val="22"/>
                <w:szCs w:val="22"/>
                <w:lang w:val="en-US"/>
              </w:rPr>
            </w:pPr>
            <w:r>
              <w:rPr>
                <w:sz w:val="22"/>
                <w:szCs w:val="22"/>
                <w:lang w:val="en-US"/>
              </w:rPr>
              <w:t>ОС</w:t>
            </w:r>
          </w:p>
        </w:tc>
        <w:tc>
          <w:tcPr>
            <w:tcW w:w="510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iCs/>
                <w:sz w:val="24"/>
                <w:szCs w:val="24"/>
                <w:lang w:val="en-US"/>
              </w:rPr>
            </w:pPr>
            <w:r>
              <w:rPr>
                <w:iCs/>
                <w:sz w:val="24"/>
                <w:szCs w:val="24"/>
                <w:lang w:val="en-US"/>
              </w:rPr>
              <w:t>Основные средства</w:t>
            </w:r>
          </w:p>
        </w:tc>
      </w:tr>
      <w:tr>
        <w:trPr>
          <w:cantSplit w:val="true"/>
        </w:trPr>
        <w:tc>
          <w:tcPr>
            <w:tcW w:w="467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center"/>
              <w:rPr>
                <w:sz w:val="22"/>
                <w:szCs w:val="22"/>
                <w:lang w:val="en-US"/>
              </w:rPr>
            </w:pPr>
            <w:r>
              <w:rPr>
                <w:sz w:val="22"/>
                <w:szCs w:val="22"/>
                <w:lang w:val="en-US"/>
              </w:rPr>
              <w:t>КАСУ ТП</w:t>
            </w:r>
          </w:p>
        </w:tc>
        <w:tc>
          <w:tcPr>
            <w:tcW w:w="510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iCs/>
                <w:sz w:val="24"/>
                <w:szCs w:val="24"/>
              </w:rPr>
            </w:pPr>
            <w:r>
              <w:rPr>
                <w:iCs/>
                <w:sz w:val="24"/>
                <w:szCs w:val="24"/>
              </w:rPr>
              <w:t>Комплексная автоматизированная система управления технологическим процессом</w:t>
            </w:r>
          </w:p>
        </w:tc>
      </w:tr>
      <w:tr>
        <w:trPr>
          <w:cantSplit w:val="true"/>
        </w:trPr>
        <w:tc>
          <w:tcPr>
            <w:tcW w:w="467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center"/>
              <w:rPr>
                <w:sz w:val="22"/>
                <w:szCs w:val="22"/>
                <w:lang w:val="en-US"/>
              </w:rPr>
            </w:pPr>
            <w:r>
              <w:rPr>
                <w:sz w:val="22"/>
                <w:szCs w:val="22"/>
                <w:lang w:val="en-US"/>
              </w:rPr>
              <w:t>УП</w:t>
            </w:r>
          </w:p>
        </w:tc>
        <w:tc>
          <w:tcPr>
            <w:tcW w:w="510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iCs/>
                <w:sz w:val="24"/>
                <w:szCs w:val="24"/>
              </w:rPr>
            </w:pPr>
            <w:r>
              <w:rPr>
                <w:iCs/>
                <w:sz w:val="24"/>
                <w:szCs w:val="24"/>
              </w:rPr>
              <w:t>Управление проектом</w:t>
            </w:r>
          </w:p>
        </w:tc>
      </w:tr>
      <w:tr>
        <w:trPr>
          <w:cantSplit w:val="true"/>
        </w:trPr>
        <w:tc>
          <w:tcPr>
            <w:tcW w:w="467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center"/>
              <w:rPr>
                <w:sz w:val="22"/>
                <w:szCs w:val="22"/>
                <w:lang w:val="en-US"/>
              </w:rPr>
            </w:pPr>
            <w:r>
              <w:rPr>
                <w:sz w:val="22"/>
                <w:szCs w:val="22"/>
                <w:lang w:val="en-US"/>
              </w:rPr>
              <w:t>МХ</w:t>
            </w:r>
          </w:p>
        </w:tc>
        <w:tc>
          <w:tcPr>
            <w:tcW w:w="510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iCs/>
                <w:sz w:val="24"/>
                <w:szCs w:val="24"/>
              </w:rPr>
            </w:pPr>
            <w:r>
              <w:rPr>
                <w:iCs/>
                <w:sz w:val="24"/>
                <w:szCs w:val="24"/>
              </w:rPr>
              <w:t>Маслохозяйство</w:t>
            </w:r>
          </w:p>
        </w:tc>
      </w:tr>
      <w:tr>
        <w:trPr>
          <w:cantSplit w:val="true"/>
        </w:trPr>
        <w:tc>
          <w:tcPr>
            <w:tcW w:w="46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426" w:leader="none"/>
              </w:tabs>
              <w:spacing w:before="120" w:after="120"/>
              <w:jc w:val="center"/>
              <w:rPr>
                <w:sz w:val="22"/>
                <w:szCs w:val="22"/>
              </w:rPr>
            </w:pPr>
            <w:r>
              <w:rPr>
                <w:iCs/>
                <w:sz w:val="24"/>
                <w:szCs w:val="24"/>
              </w:rPr>
              <w:t>Эквивалентная продукция</w:t>
            </w:r>
          </w:p>
        </w:tc>
        <w:tc>
          <w:tcPr>
            <w:tcW w:w="510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iCs/>
                <w:sz w:val="24"/>
                <w:szCs w:val="24"/>
              </w:rPr>
            </w:pPr>
            <w:r>
              <w:rPr>
                <w:iCs/>
                <w:sz w:val="24"/>
                <w:szCs w:val="24"/>
              </w:rPr>
              <w:t>Это продукция, которая по техническим и функциональным характеристикам не уступает характеристикам, заявленным в документации о закупке, в том числе, по гарантийным срокам и срокам эксплуатации</w:t>
            </w:r>
          </w:p>
        </w:tc>
      </w:tr>
    </w:tbl>
    <w:p>
      <w:pPr>
        <w:pStyle w:val="Normal"/>
        <w:keepNext w:val="true"/>
        <w:keepLines/>
        <w:rPr>
          <w:sz w:val="24"/>
          <w:szCs w:val="24"/>
        </w:rPr>
      </w:pPr>
      <w:r>
        <w:rPr>
          <w:sz w:val="24"/>
          <w:szCs w:val="24"/>
        </w:rPr>
      </w:r>
    </w:p>
    <w:p>
      <w:pPr>
        <w:pStyle w:val="Heading4"/>
        <w:numPr>
          <w:ilvl w:val="1"/>
          <w:numId w:val="3"/>
        </w:numPr>
        <w:rPr/>
      </w:pPr>
      <w:bookmarkStart w:id="10" w:name="_Toc221016964"/>
      <w:bookmarkStart w:id="11" w:name="_Toc46743506"/>
      <w:r>
        <w:rPr/>
        <w:t>Наименование закупаем</w:t>
      </w:r>
      <w:bookmarkEnd w:id="11"/>
      <w:r>
        <w:rPr/>
        <w:t>ых работ:</w:t>
      </w:r>
      <w:bookmarkEnd w:id="10"/>
    </w:p>
    <w:p>
      <w:pPr>
        <w:pStyle w:val="Normal"/>
        <w:widowControl w:val="false"/>
        <w:tabs>
          <w:tab w:val="clear" w:pos="708"/>
          <w:tab w:val="left" w:pos="426" w:leader="none"/>
        </w:tabs>
        <w:spacing w:before="120" w:after="120"/>
        <w:ind w:firstLine="851"/>
        <w:jc w:val="both"/>
        <w:rPr>
          <w:bCs/>
          <w:sz w:val="24"/>
          <w:szCs w:val="24"/>
        </w:rPr>
      </w:pPr>
      <w:r>
        <w:rPr>
          <w:rFonts w:eastAsia="Calibri"/>
          <w:b w:val="false"/>
          <w:bCs w:val="false"/>
          <w:sz w:val="28"/>
          <w:szCs w:val="28"/>
        </w:rPr>
        <w:t>ОКПД2 43.22.12.190 Выполн</w:t>
      </w:r>
      <w:r>
        <w:rPr>
          <w:rFonts w:eastAsia="Calibri"/>
          <w:b w:val="false"/>
          <w:bCs w:val="false"/>
          <w:sz w:val="24"/>
          <w:szCs w:val="24"/>
        </w:rPr>
        <w:t>ение работ</w:t>
      </w:r>
      <w:r>
        <w:rPr>
          <w:b w:val="false"/>
          <w:bCs w:val="false"/>
          <w:sz w:val="24"/>
          <w:szCs w:val="24"/>
        </w:rPr>
        <w:t xml:space="preserve"> </w:t>
      </w:r>
      <w:r>
        <w:rPr>
          <w:rFonts w:eastAsia="Calibri"/>
          <w:b w:val="false"/>
          <w:bCs w:val="false"/>
          <w:sz w:val="24"/>
          <w:szCs w:val="24"/>
        </w:rPr>
        <w:t>по техническому перевооружению системы вентиляции ФВР5 станционного маслохозяйства Новосибирской ГЭС</w:t>
      </w:r>
      <w:r>
        <w:rPr>
          <w:bCs/>
          <w:sz w:val="24"/>
          <w:szCs w:val="24"/>
        </w:rPr>
        <w:t xml:space="preserve"> (Далее - работы).</w:t>
      </w:r>
    </w:p>
    <w:p>
      <w:pPr>
        <w:pStyle w:val="Heading4"/>
        <w:numPr>
          <w:ilvl w:val="1"/>
          <w:numId w:val="3"/>
        </w:numPr>
        <w:spacing w:before="240" w:after="60"/>
        <w:ind w:left="431" w:hanging="431"/>
        <w:rPr/>
      </w:pPr>
      <w:bookmarkStart w:id="12" w:name="_Toc221016965"/>
      <w:bookmarkStart w:id="13" w:name="_Toc46743507"/>
      <w:r>
        <w:rPr/>
        <w:t xml:space="preserve">Цель </w:t>
      </w:r>
      <w:bookmarkEnd w:id="13"/>
      <w:r>
        <w:rPr>
          <w:lang w:val="ru-RU"/>
        </w:rPr>
        <w:t>выполнения работ</w:t>
      </w:r>
      <w:bookmarkEnd w:id="12"/>
      <w:r>
        <w:rPr/>
        <w:t xml:space="preserve"> </w:t>
      </w:r>
    </w:p>
    <w:p>
      <w:pPr>
        <w:pStyle w:val="Normal"/>
        <w:ind w:firstLine="567"/>
        <w:jc w:val="both"/>
        <w:rPr>
          <w:rStyle w:val="Style8"/>
          <w:b w:val="false"/>
          <w:bCs/>
          <w:i w:val="false"/>
          <w:i w:val="false"/>
          <w:sz w:val="24"/>
          <w:szCs w:val="24"/>
          <w:shd w:fill="auto" w:val="clear"/>
        </w:rPr>
      </w:pPr>
      <w:r>
        <w:rPr>
          <w:rStyle w:val="Style8"/>
          <w:b w:val="false"/>
          <w:bCs/>
          <w:i w:val="false"/>
          <w:sz w:val="24"/>
          <w:szCs w:val="24"/>
          <w:shd w:fill="auto" w:val="clear"/>
        </w:rPr>
        <w:t xml:space="preserve">Исполнение обязательств по Договору подряда от 29.07.2025 №8-ТПиР-2025 «Монтаж и наладка оборудования системы маслохозяйства Новосибирской ГЭС в рамках инвестиционного проекта I_T-1260-022», заключенного между ПАО «РусГидро» и АО «Гидроремонт-ВКК». </w:t>
      </w:r>
    </w:p>
    <w:p>
      <w:pPr>
        <w:pStyle w:val="Heading4"/>
        <w:numPr>
          <w:ilvl w:val="1"/>
          <w:numId w:val="3"/>
        </w:numPr>
        <w:rPr/>
      </w:pPr>
      <w:bookmarkStart w:id="14" w:name="_Toc221016966"/>
      <w:bookmarkStart w:id="15" w:name="_Toc46743508"/>
      <w:r>
        <w:rPr/>
        <w:t>Существующее положение</w:t>
      </w:r>
      <w:bookmarkEnd w:id="14"/>
      <w:bookmarkEnd w:id="15"/>
    </w:p>
    <w:p>
      <w:pPr>
        <w:pStyle w:val="Normal"/>
        <w:ind w:firstLine="567"/>
        <w:jc w:val="both"/>
        <w:rPr>
          <w:rStyle w:val="Style8"/>
          <w:b w:val="false"/>
          <w:bCs/>
          <w:i w:val="false"/>
          <w:i w:val="false"/>
          <w:sz w:val="24"/>
          <w:szCs w:val="24"/>
          <w:shd w:fill="auto" w:val="clear"/>
        </w:rPr>
      </w:pPr>
      <w:r>
        <w:rPr>
          <w:rStyle w:val="Style8"/>
          <w:b w:val="false"/>
          <w:bCs/>
          <w:i w:val="false"/>
          <w:sz w:val="24"/>
          <w:szCs w:val="24"/>
          <w:shd w:fill="auto" w:val="clear"/>
        </w:rPr>
        <w:t>Система маслохозяйства включает в себя:</w:t>
      </w:r>
    </w:p>
    <w:p>
      <w:pPr>
        <w:pStyle w:val="Normal"/>
        <w:ind w:firstLine="567"/>
        <w:jc w:val="both"/>
        <w:rPr>
          <w:rStyle w:val="Style8"/>
          <w:b w:val="false"/>
          <w:bCs/>
          <w:i w:val="false"/>
          <w:i w:val="false"/>
          <w:sz w:val="24"/>
          <w:szCs w:val="24"/>
          <w:shd w:fill="auto" w:val="clear"/>
        </w:rPr>
      </w:pPr>
      <w:r>
        <w:rPr>
          <w:rStyle w:val="Style8"/>
          <w:b w:val="false"/>
          <w:bCs/>
          <w:i w:val="false"/>
          <w:sz w:val="24"/>
          <w:szCs w:val="24"/>
          <w:shd w:fill="auto" w:val="clear"/>
        </w:rPr>
        <w:t>- маслоочистительное оборудование, находящееся в помещении аппаратной маслохозяйства на отм.104,0 в пристройке административно-бытового корпуса: станция масляная мобильная СММ-4,0, станция масляная мобильная СММ-0,7М, установка вакуумная по доливке масла СМДВ, насос НМШ 32-10-1-18/6, насос НМШ 8-25-6,3/2,5, насос масляный погружной ЦНП 5/20, дегазатор ВУД-152, фильтр-пресс закрытого типа II Р 2,2 – 315 х 11/16, блок сорбентных патронов типа ЦП-260;</w:t>
      </w:r>
    </w:p>
    <w:p>
      <w:pPr>
        <w:pStyle w:val="Normal"/>
        <w:ind w:firstLine="567"/>
        <w:jc w:val="both"/>
        <w:rPr>
          <w:rStyle w:val="Style8"/>
          <w:b w:val="false"/>
          <w:bCs/>
          <w:i w:val="false"/>
          <w:i w:val="false"/>
          <w:sz w:val="24"/>
          <w:szCs w:val="24"/>
          <w:shd w:fill="auto" w:val="clear"/>
        </w:rPr>
      </w:pPr>
      <w:r>
        <w:rPr>
          <w:rStyle w:val="Style8"/>
          <w:b w:val="false"/>
          <w:bCs/>
          <w:i w:val="false"/>
          <w:sz w:val="24"/>
          <w:szCs w:val="24"/>
          <w:shd w:fill="auto" w:val="clear"/>
        </w:rPr>
        <w:t>- трубопроводы (проходящие на отм. 105,85 м вдоль машинного зала и предназначенные для слива/залива масла в оборудование гидроагрегата: сливной бак и гидроаккумулятор маслонапорной установки (МНУ), верхний генераторный подшипник (ВГП), нижний генераторный подшипник (НГП), рабочее колесо (РК), подпятник, турбинный подшипник (ТП); трубопроводы слива/залива масла на трансформаторной площадке, трубопроводы обвязки баков ст.№1-9);</w:t>
      </w:r>
    </w:p>
    <w:p>
      <w:pPr>
        <w:pStyle w:val="Normal"/>
        <w:ind w:firstLine="567"/>
        <w:jc w:val="both"/>
        <w:rPr>
          <w:rStyle w:val="Style8"/>
          <w:b w:val="false"/>
          <w:bCs/>
          <w:i w:val="false"/>
          <w:i w:val="false"/>
          <w:sz w:val="24"/>
          <w:szCs w:val="24"/>
          <w:shd w:fill="auto" w:val="clear"/>
        </w:rPr>
      </w:pPr>
      <w:r>
        <w:rPr>
          <w:rStyle w:val="Style8"/>
          <w:b w:val="false"/>
          <w:bCs/>
          <w:i w:val="false"/>
          <w:sz w:val="24"/>
          <w:szCs w:val="24"/>
          <w:shd w:fill="auto" w:val="clear"/>
        </w:rPr>
        <w:t>- баки для хранения масла (турбинного и трансформаторного): бак ст.№1 (V=30м3), бак ст.№2 (V=40м3), бак ст.№3 (V=60м3), бак ст.№4 (V=10м3), бак ст.№5 (V=5м3), бак ст.№6 (V=50м3), бак ст.№7 (V=10м3), бак ст.№8 (V=25м3), бак ст.№9 (V=25м3), бак подземный 1П (V=60м3), бак подземный 2П (V=50м3), бак подземный 3П (V=25м3), бак подземный 4П (V=50м3).</w:t>
      </w:r>
    </w:p>
    <w:p>
      <w:pPr>
        <w:pStyle w:val="Normal"/>
        <w:ind w:firstLine="567"/>
        <w:jc w:val="both"/>
        <w:rPr>
          <w:rStyle w:val="Style8"/>
          <w:b w:val="false"/>
          <w:bCs/>
          <w:i w:val="false"/>
          <w:i w:val="false"/>
          <w:sz w:val="24"/>
          <w:szCs w:val="24"/>
          <w:shd w:fill="auto" w:val="clear"/>
        </w:rPr>
      </w:pPr>
      <w:r>
        <w:rPr>
          <w:rStyle w:val="Style8"/>
          <w:b w:val="false"/>
          <w:bCs/>
          <w:i w:val="false"/>
          <w:sz w:val="24"/>
          <w:szCs w:val="24"/>
          <w:shd w:fill="auto" w:val="clear"/>
        </w:rPr>
        <w:t xml:space="preserve">- электрические щиты передвижного электрооборудования: мобильной установки и фильтр-пресса для очистки турбинного и трансформаторного масла, передвижных насосов, потребителей системы пожаротушения. </w:t>
      </w:r>
    </w:p>
    <w:p>
      <w:pPr>
        <w:pStyle w:val="Normal"/>
        <w:ind w:firstLine="567"/>
        <w:jc w:val="both"/>
        <w:rPr>
          <w:rStyle w:val="Style8"/>
          <w:b w:val="false"/>
          <w:bCs/>
          <w:i w:val="false"/>
          <w:i w:val="false"/>
          <w:sz w:val="24"/>
          <w:szCs w:val="24"/>
          <w:shd w:fill="auto" w:val="clear"/>
        </w:rPr>
      </w:pPr>
      <w:r>
        <w:rPr>
          <w:rStyle w:val="Style8"/>
          <w:b w:val="false"/>
          <w:bCs/>
          <w:i w:val="false"/>
          <w:sz w:val="24"/>
          <w:szCs w:val="24"/>
          <w:shd w:fill="auto" w:val="clear"/>
        </w:rPr>
        <w:t>Система маслохозяйства филиала ПАО «РусГидро» - «Новосибирская ГЭС» (далее – маслохозяйство) выполняет следующие задачи:</w:t>
      </w:r>
    </w:p>
    <w:p>
      <w:pPr>
        <w:pStyle w:val="Normal"/>
        <w:ind w:firstLine="567"/>
        <w:jc w:val="both"/>
        <w:rPr>
          <w:rStyle w:val="Style8"/>
          <w:b w:val="false"/>
          <w:bCs/>
          <w:i w:val="false"/>
          <w:i w:val="false"/>
          <w:sz w:val="24"/>
          <w:szCs w:val="24"/>
          <w:shd w:fill="auto" w:val="clear"/>
        </w:rPr>
      </w:pPr>
      <w:r>
        <w:rPr>
          <w:rStyle w:val="Style8"/>
          <w:b w:val="false"/>
          <w:bCs/>
          <w:i w:val="false"/>
          <w:sz w:val="24"/>
          <w:szCs w:val="24"/>
          <w:shd w:fill="auto" w:val="clear"/>
        </w:rPr>
        <w:t>- приемку свежего трансформаторного и турбинного масел, поступающих на ГЭС;</w:t>
      </w:r>
    </w:p>
    <w:p>
      <w:pPr>
        <w:pStyle w:val="Normal"/>
        <w:ind w:firstLine="567"/>
        <w:jc w:val="both"/>
        <w:rPr>
          <w:rStyle w:val="Style8"/>
          <w:b w:val="false"/>
          <w:bCs/>
          <w:i w:val="false"/>
          <w:i w:val="false"/>
          <w:sz w:val="24"/>
          <w:szCs w:val="24"/>
          <w:shd w:fill="auto" w:val="clear"/>
        </w:rPr>
      </w:pPr>
      <w:r>
        <w:rPr>
          <w:rStyle w:val="Style8"/>
          <w:b w:val="false"/>
          <w:bCs/>
          <w:i w:val="false"/>
          <w:sz w:val="24"/>
          <w:szCs w:val="24"/>
          <w:shd w:fill="auto" w:val="clear"/>
        </w:rPr>
        <w:t>- хранение и распределение масел в емкостях маслохозяйства, проведение мероприятий по поддержанию их качества и предохранению от окисления;</w:t>
      </w:r>
    </w:p>
    <w:p>
      <w:pPr>
        <w:pStyle w:val="Normal"/>
        <w:ind w:firstLine="567"/>
        <w:jc w:val="both"/>
        <w:rPr>
          <w:rStyle w:val="Style8"/>
          <w:b w:val="false"/>
          <w:bCs/>
          <w:i w:val="false"/>
          <w:i w:val="false"/>
          <w:sz w:val="24"/>
          <w:szCs w:val="24"/>
          <w:shd w:fill="auto" w:val="clear"/>
        </w:rPr>
      </w:pPr>
      <w:r>
        <w:rPr>
          <w:rStyle w:val="Style8"/>
          <w:b w:val="false"/>
          <w:bCs/>
          <w:i w:val="false"/>
          <w:sz w:val="24"/>
          <w:szCs w:val="24"/>
          <w:shd w:fill="auto" w:val="clear"/>
        </w:rPr>
        <w:t>- отпуск сухого свежего и эксплуатационного масла (трансформаторного, турбинного);</w:t>
      </w:r>
    </w:p>
    <w:p>
      <w:pPr>
        <w:pStyle w:val="Normal"/>
        <w:ind w:firstLine="567"/>
        <w:jc w:val="both"/>
        <w:rPr>
          <w:rStyle w:val="Style8"/>
          <w:b w:val="false"/>
          <w:bCs/>
          <w:i w:val="false"/>
          <w:i w:val="false"/>
          <w:sz w:val="24"/>
          <w:szCs w:val="24"/>
          <w:shd w:fill="auto" w:val="clear"/>
        </w:rPr>
      </w:pPr>
      <w:r>
        <w:rPr>
          <w:rStyle w:val="Style8"/>
          <w:b w:val="false"/>
          <w:bCs/>
          <w:i w:val="false"/>
          <w:sz w:val="24"/>
          <w:szCs w:val="24"/>
          <w:shd w:fill="auto" w:val="clear"/>
        </w:rPr>
        <w:t>- приемку масла из аппаратов и оборудования во время ремонта;</w:t>
      </w:r>
    </w:p>
    <w:p>
      <w:pPr>
        <w:pStyle w:val="Normal"/>
        <w:ind w:firstLine="567"/>
        <w:jc w:val="both"/>
        <w:rPr>
          <w:rStyle w:val="Style8"/>
          <w:b w:val="false"/>
          <w:bCs/>
          <w:i w:val="false"/>
          <w:i w:val="false"/>
          <w:sz w:val="24"/>
          <w:szCs w:val="24"/>
          <w:shd w:fill="auto" w:val="clear"/>
        </w:rPr>
      </w:pPr>
      <w:r>
        <w:rPr>
          <w:rStyle w:val="Style8"/>
          <w:b w:val="false"/>
          <w:bCs/>
          <w:i w:val="false"/>
          <w:sz w:val="24"/>
          <w:szCs w:val="24"/>
          <w:shd w:fill="auto" w:val="clear"/>
        </w:rPr>
        <w:t>- очистку и сушку свежего и эксплуатационного масла.</w:t>
      </w:r>
    </w:p>
    <w:p>
      <w:pPr>
        <w:pStyle w:val="Normal"/>
        <w:ind w:firstLine="567"/>
        <w:jc w:val="both"/>
        <w:rPr>
          <w:rStyle w:val="Style8"/>
          <w:b w:val="false"/>
          <w:bCs/>
          <w:i w:val="false"/>
          <w:i w:val="false"/>
          <w:sz w:val="24"/>
          <w:szCs w:val="24"/>
          <w:shd w:fill="auto" w:val="clear"/>
        </w:rPr>
      </w:pPr>
      <w:r>
        <w:rPr>
          <w:rStyle w:val="Style8"/>
          <w:b w:val="false"/>
          <w:bCs/>
          <w:i w:val="false"/>
          <w:sz w:val="24"/>
          <w:szCs w:val="24"/>
          <w:shd w:fill="auto" w:val="clear"/>
        </w:rPr>
        <w:t>Ввод оборудования в эксплуатацию:</w:t>
      </w:r>
    </w:p>
    <w:p>
      <w:pPr>
        <w:pStyle w:val="Normal"/>
        <w:ind w:firstLine="567"/>
        <w:jc w:val="both"/>
        <w:rPr>
          <w:rStyle w:val="Style8"/>
          <w:b w:val="false"/>
          <w:bCs/>
          <w:i w:val="false"/>
          <w:i w:val="false"/>
          <w:sz w:val="24"/>
          <w:szCs w:val="24"/>
          <w:shd w:fill="auto" w:val="clear"/>
        </w:rPr>
      </w:pPr>
      <w:r>
        <w:rPr>
          <w:rStyle w:val="Style8"/>
          <w:b w:val="false"/>
          <w:bCs/>
          <w:i w:val="false"/>
          <w:sz w:val="24"/>
          <w:szCs w:val="24"/>
          <w:shd w:fill="auto" w:val="clear"/>
        </w:rPr>
        <w:t>- маслопроводы – 1961 год;</w:t>
      </w:r>
    </w:p>
    <w:p>
      <w:pPr>
        <w:pStyle w:val="Normal"/>
        <w:ind w:firstLine="567"/>
        <w:jc w:val="both"/>
        <w:rPr>
          <w:rStyle w:val="Style8"/>
          <w:b w:val="false"/>
          <w:bCs/>
          <w:i w:val="false"/>
          <w:i w:val="false"/>
          <w:sz w:val="24"/>
          <w:szCs w:val="24"/>
          <w:shd w:fill="auto" w:val="clear"/>
        </w:rPr>
      </w:pPr>
      <w:r>
        <w:rPr>
          <w:rStyle w:val="Style8"/>
          <w:b w:val="false"/>
          <w:bCs/>
          <w:i w:val="false"/>
          <w:sz w:val="24"/>
          <w:szCs w:val="24"/>
          <w:shd w:fill="auto" w:val="clear"/>
        </w:rPr>
        <w:t>- подземные баки для хранения масла – 1961 год;</w:t>
      </w:r>
    </w:p>
    <w:p>
      <w:pPr>
        <w:pStyle w:val="Normal"/>
        <w:ind w:firstLine="567"/>
        <w:jc w:val="both"/>
        <w:rPr>
          <w:rStyle w:val="Style8"/>
          <w:b w:val="false"/>
          <w:bCs/>
          <w:i w:val="false"/>
          <w:i w:val="false"/>
          <w:sz w:val="24"/>
          <w:szCs w:val="24"/>
          <w:shd w:fill="auto" w:val="clear"/>
        </w:rPr>
      </w:pPr>
      <w:r>
        <w:rPr>
          <w:rStyle w:val="Style8"/>
          <w:b w:val="false"/>
          <w:bCs/>
          <w:i w:val="false"/>
          <w:sz w:val="24"/>
          <w:szCs w:val="24"/>
          <w:shd w:fill="auto" w:val="clear"/>
        </w:rPr>
        <w:t>- маслоочистительное оборудование – 2008 год;</w:t>
      </w:r>
    </w:p>
    <w:p>
      <w:pPr>
        <w:pStyle w:val="Normal"/>
        <w:ind w:firstLine="567"/>
        <w:jc w:val="both"/>
        <w:rPr>
          <w:rStyle w:val="Style8"/>
          <w:b w:val="false"/>
          <w:bCs/>
          <w:i w:val="false"/>
          <w:i w:val="false"/>
          <w:sz w:val="24"/>
          <w:szCs w:val="24"/>
          <w:shd w:fill="auto" w:val="clear"/>
        </w:rPr>
      </w:pPr>
      <w:r>
        <w:rPr>
          <w:rStyle w:val="Style8"/>
          <w:b w:val="false"/>
          <w:bCs/>
          <w:i w:val="false"/>
          <w:sz w:val="24"/>
          <w:szCs w:val="24"/>
          <w:shd w:fill="auto" w:val="clear"/>
        </w:rPr>
        <w:t>- надземные баки ст.№1-9 – 2006 год;</w:t>
      </w:r>
    </w:p>
    <w:p>
      <w:pPr>
        <w:pStyle w:val="Normal"/>
        <w:ind w:firstLine="567"/>
        <w:jc w:val="both"/>
        <w:rPr>
          <w:rStyle w:val="Style8"/>
          <w:b w:val="false"/>
          <w:bCs/>
          <w:i w:val="false"/>
          <w:i w:val="false"/>
          <w:sz w:val="24"/>
          <w:szCs w:val="24"/>
          <w:shd w:fill="auto" w:val="clear"/>
        </w:rPr>
      </w:pPr>
      <w:r>
        <w:rPr>
          <w:rStyle w:val="Style8"/>
          <w:b w:val="false"/>
          <w:bCs/>
          <w:i w:val="false"/>
          <w:sz w:val="24"/>
          <w:szCs w:val="24"/>
          <w:shd w:fill="auto" w:val="clear"/>
        </w:rPr>
        <w:t>- система электроснабжения и освещения – 2006 год.</w:t>
      </w:r>
    </w:p>
    <w:p>
      <w:pPr>
        <w:pStyle w:val="Normal"/>
        <w:ind w:firstLine="567"/>
        <w:jc w:val="both"/>
        <w:rPr>
          <w:rStyle w:val="Style8"/>
          <w:b w:val="false"/>
          <w:bCs/>
          <w:i w:val="false"/>
          <w:i w:val="false"/>
          <w:sz w:val="24"/>
          <w:szCs w:val="24"/>
          <w:shd w:fill="auto" w:val="clear"/>
        </w:rPr>
      </w:pPr>
      <w:r>
        <w:rPr>
          <w:rStyle w:val="Style8"/>
          <w:b w:val="false"/>
          <w:bCs/>
          <w:i w:val="false"/>
          <w:sz w:val="24"/>
          <w:szCs w:val="24"/>
          <w:shd w:fill="auto" w:val="clear"/>
        </w:rPr>
        <w:t>Реконструкция и капитальные ремонты оборудования маслохозяйства не производились.</w:t>
      </w:r>
    </w:p>
    <w:p>
      <w:pPr>
        <w:pStyle w:val="Normal"/>
        <w:ind w:firstLine="567"/>
        <w:jc w:val="both"/>
        <w:rPr>
          <w:rStyle w:val="Style8"/>
          <w:b w:val="false"/>
          <w:bCs/>
          <w:i w:val="false"/>
          <w:i w:val="false"/>
          <w:sz w:val="24"/>
          <w:szCs w:val="24"/>
          <w:shd w:fill="auto" w:val="clear"/>
        </w:rPr>
      </w:pPr>
      <w:r>
        <w:rPr>
          <w:b w:val="false"/>
          <w:bCs/>
          <w:i w:val="false"/>
          <w:sz w:val="24"/>
          <w:szCs w:val="24"/>
          <w:shd w:fill="auto" w:val="clear"/>
        </w:rPr>
      </w:r>
    </w:p>
    <w:p>
      <w:pPr>
        <w:pStyle w:val="Normal"/>
        <w:widowControl w:val="false"/>
        <w:tabs>
          <w:tab w:val="clear" w:pos="708"/>
          <w:tab w:val="left" w:pos="426" w:leader="none"/>
        </w:tabs>
        <w:spacing w:before="120" w:after="240"/>
        <w:jc w:val="both"/>
        <w:rPr>
          <w:rStyle w:val="Style8"/>
          <w:b w:val="false"/>
          <w:bCs/>
          <w:i w:val="false"/>
          <w:i w:val="false"/>
          <w:sz w:val="24"/>
          <w:szCs w:val="24"/>
          <w:shd w:fill="auto" w:val="clear"/>
        </w:rPr>
      </w:pPr>
      <w:r>
        <w:rPr>
          <w:b w:val="false"/>
          <w:bCs/>
          <w:i w:val="false"/>
          <w:sz w:val="24"/>
          <w:szCs w:val="24"/>
          <w:shd w:fill="auto" w:val="clear"/>
        </w:rPr>
      </w:r>
    </w:p>
    <w:p>
      <w:pPr>
        <w:pStyle w:val="Normal"/>
        <w:widowControl w:val="false"/>
        <w:tabs>
          <w:tab w:val="clear" w:pos="708"/>
          <w:tab w:val="left" w:pos="426" w:leader="none"/>
        </w:tabs>
        <w:spacing w:before="120" w:after="240"/>
        <w:jc w:val="both"/>
        <w:rPr>
          <w:rStyle w:val="Style8"/>
          <w:b w:val="false"/>
          <w:i w:val="false"/>
          <w:i w:val="false"/>
          <w:sz w:val="24"/>
          <w:szCs w:val="24"/>
          <w:shd w:fill="auto" w:val="clear"/>
        </w:rPr>
      </w:pPr>
      <w:r>
        <w:rPr>
          <w:b w:val="false"/>
          <w:i w:val="false"/>
          <w:sz w:val="24"/>
          <w:szCs w:val="24"/>
          <w:shd w:fill="auto" w:val="clear"/>
        </w:rPr>
      </w:r>
    </w:p>
    <w:p>
      <w:pPr>
        <w:pStyle w:val="Heading1"/>
        <w:keepLines/>
        <w:numPr>
          <w:ilvl w:val="0"/>
          <w:numId w:val="0"/>
        </w:numPr>
        <w:spacing w:before="240" w:after="60"/>
        <w:ind w:left="0" w:hanging="0"/>
        <w:rPr/>
      </w:pPr>
      <w:bookmarkStart w:id="16" w:name="_Toc221016967"/>
      <w:r>
        <w:rPr>
          <w:sz w:val="24"/>
          <w:szCs w:val="24"/>
        </w:rPr>
        <w:t>Таблица 1. Перечень объектов Заказчика</w:t>
      </w:r>
      <w:bookmarkEnd w:id="16"/>
    </w:p>
    <w:tbl>
      <w:tblPr>
        <w:tblW w:w="9918" w:type="dxa"/>
        <w:jc w:val="left"/>
        <w:tblInd w:w="113" w:type="dxa"/>
        <w:tblLayout w:type="fixed"/>
        <w:tblCellMar>
          <w:top w:w="0" w:type="dxa"/>
          <w:left w:w="108" w:type="dxa"/>
          <w:bottom w:w="0" w:type="dxa"/>
          <w:right w:w="108" w:type="dxa"/>
        </w:tblCellMar>
        <w:tblLook w:val="0000" w:noVBand="0" w:noHBand="0" w:lastColumn="0" w:firstColumn="0" w:lastRow="0" w:firstRow="0"/>
      </w:tblPr>
      <w:tblGrid>
        <w:gridCol w:w="817"/>
        <w:gridCol w:w="2042"/>
        <w:gridCol w:w="2693"/>
        <w:gridCol w:w="2268"/>
        <w:gridCol w:w="2098"/>
      </w:tblGrid>
      <w:tr>
        <w:trPr/>
        <w:tc>
          <w:tcPr>
            <w:tcW w:w="817"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w:t>
            </w:r>
          </w:p>
          <w:p>
            <w:pPr>
              <w:pStyle w:val="Normal"/>
              <w:widowControl w:val="false"/>
              <w:rPr>
                <w:sz w:val="24"/>
                <w:szCs w:val="24"/>
              </w:rPr>
            </w:pPr>
            <w:r>
              <w:rPr>
                <w:sz w:val="24"/>
                <w:szCs w:val="24"/>
              </w:rPr>
              <w:t>п/п</w:t>
            </w:r>
          </w:p>
        </w:tc>
        <w:tc>
          <w:tcPr>
            <w:tcW w:w="204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Наименование объекта</w:t>
            </w:r>
          </w:p>
          <w:p>
            <w:pPr>
              <w:pStyle w:val="Normal"/>
              <w:widowControl w:val="false"/>
              <w:jc w:val="center"/>
              <w:rPr>
                <w:sz w:val="24"/>
                <w:szCs w:val="24"/>
              </w:rPr>
            </w:pPr>
            <w:r>
              <w:rPr>
                <w:sz w:val="24"/>
                <w:szCs w:val="24"/>
              </w:rPr>
            </w:r>
          </w:p>
        </w:tc>
        <w:tc>
          <w:tcPr>
            <w:tcW w:w="269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 xml:space="preserve">Расположение объекта </w:t>
            </w:r>
            <w:r>
              <w:rPr>
                <w:i/>
                <w:iCs/>
                <w:sz w:val="24"/>
                <w:szCs w:val="24"/>
              </w:rPr>
              <w:t>(место выполнения работ)</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Наименование основного средства (в отношении которого выполняются работы)</w:t>
            </w:r>
          </w:p>
        </w:tc>
        <w:tc>
          <w:tcPr>
            <w:tcW w:w="209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Примечания</w:t>
            </w:r>
          </w:p>
        </w:tc>
      </w:tr>
      <w:tr>
        <w:trPr/>
        <w:tc>
          <w:tcPr>
            <w:tcW w:w="8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1</w:t>
            </w:r>
          </w:p>
        </w:tc>
        <w:tc>
          <w:tcPr>
            <w:tcW w:w="204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2</w:t>
            </w:r>
          </w:p>
        </w:tc>
        <w:tc>
          <w:tcPr>
            <w:tcW w:w="269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3</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4</w:t>
            </w:r>
          </w:p>
        </w:tc>
        <w:tc>
          <w:tcPr>
            <w:tcW w:w="209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5</w:t>
            </w:r>
          </w:p>
        </w:tc>
      </w:tr>
      <w:tr>
        <w:trPr>
          <w:trHeight w:val="3097" w:hRule="atLeast"/>
        </w:trPr>
        <w:tc>
          <w:tcPr>
            <w:tcW w:w="81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6"/>
              </w:numPr>
              <w:rPr/>
            </w:pPr>
            <w:r>
              <w:rPr/>
            </w:r>
          </w:p>
        </w:tc>
        <w:tc>
          <w:tcPr>
            <w:tcW w:w="204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4"/>
                <w:szCs w:val="24"/>
              </w:rPr>
            </w:pPr>
            <w:r>
              <w:rPr>
                <w:sz w:val="24"/>
                <w:szCs w:val="24"/>
              </w:rPr>
              <w:t>Система вентиляции ФВР5 станционного маслохозяйства Новосибирской ГЭС.</w:t>
            </w:r>
          </w:p>
        </w:tc>
        <w:tc>
          <w:tcPr>
            <w:tcW w:w="269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4"/>
                <w:szCs w:val="24"/>
                <w:lang w:val="en-US"/>
              </w:rPr>
            </w:pPr>
            <w:r>
              <w:rPr>
                <w:sz w:val="24"/>
                <w:szCs w:val="24"/>
              </w:rPr>
              <w:t>Новосибирская гидроэлектростанция (филиал ПАО РусГидро– Новосибирская ГЭС), Российская Федерация, Новосибирская область, г. Новосибирск, ул. Новоморская, д. 4</w:t>
            </w:r>
            <w:r>
              <w:rPr>
                <w:sz w:val="24"/>
                <w:szCs w:val="24"/>
                <w:lang w:val="en-US"/>
              </w:rPr>
              <w:t>/1</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Система вентиляции ФВР5</w:t>
            </w:r>
          </w:p>
        </w:tc>
        <w:tc>
          <w:tcPr>
            <w:tcW w:w="209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4"/>
                <w:szCs w:val="24"/>
              </w:rPr>
            </w:pPr>
            <w:r>
              <w:rPr>
                <w:sz w:val="24"/>
                <w:szCs w:val="24"/>
              </w:rPr>
              <w:t>№</w:t>
            </w:r>
            <w:r>
              <w:rPr>
                <w:sz w:val="24"/>
                <w:szCs w:val="24"/>
              </w:rPr>
              <w:t>НВ0000000764</w:t>
            </w:r>
          </w:p>
        </w:tc>
      </w:tr>
    </w:tbl>
    <w:p>
      <w:pPr>
        <w:pStyle w:val="Heading4"/>
        <w:numPr>
          <w:ilvl w:val="1"/>
          <w:numId w:val="3"/>
        </w:numPr>
        <w:jc w:val="both"/>
        <w:rPr/>
      </w:pPr>
      <w:bookmarkStart w:id="17" w:name="_Toc221016968"/>
      <w:bookmarkStart w:id="18" w:name="_Toc46743509"/>
      <w:bookmarkStart w:id="19" w:name="_Hlk49857604"/>
      <w:r>
        <w:rPr/>
        <w:t xml:space="preserve">Информация в отношении исполнения договора, </w:t>
      </w:r>
      <w:bookmarkStart w:id="20" w:name="_Hlk46492347"/>
      <w:r>
        <w:rPr/>
        <w:t xml:space="preserve">которая должна быть учтена при подготовке заявки </w:t>
      </w:r>
      <w:bookmarkEnd w:id="20"/>
      <w:r>
        <w:rPr/>
        <w:t xml:space="preserve">(в том числе перечень ресурсов, услуг и документов, предоставляемых </w:t>
      </w:r>
      <w:r>
        <w:rPr>
          <w:lang w:val="ru-RU"/>
        </w:rPr>
        <w:t>Заказчиком</w:t>
      </w:r>
      <w:r>
        <w:rPr/>
        <w:t xml:space="preserve"> на этапе исполнения договора)</w:t>
      </w:r>
      <w:bookmarkEnd w:id="17"/>
      <w:bookmarkEnd w:id="18"/>
      <w:bookmarkEnd w:id="19"/>
    </w:p>
    <w:p>
      <w:pPr>
        <w:pStyle w:val="Normal"/>
        <w:rPr>
          <w:rStyle w:val="Style8"/>
          <w:b w:val="false"/>
          <w:bCs/>
          <w:i w:val="false"/>
          <w:i w:val="false"/>
          <w:sz w:val="24"/>
          <w:szCs w:val="24"/>
        </w:rPr>
      </w:pPr>
      <w:r>
        <w:rPr>
          <w:rStyle w:val="Style8"/>
          <w:b w:val="false"/>
          <w:bCs/>
          <w:i w:val="false"/>
          <w:sz w:val="24"/>
          <w:szCs w:val="24"/>
          <w:shd w:fill="auto" w:val="clear"/>
        </w:rPr>
        <w:t>На период выполнения работ Заказчик предоставит Субподрядчику:</w:t>
      </w:r>
    </w:p>
    <w:p>
      <w:pPr>
        <w:pStyle w:val="ListParagraph"/>
        <w:numPr>
          <w:ilvl w:val="0"/>
          <w:numId w:val="10"/>
        </w:numPr>
        <w:rPr>
          <w:rStyle w:val="Style8"/>
          <w:b w:val="false"/>
          <w:bCs/>
          <w:i w:val="false"/>
          <w:i w:val="false"/>
          <w:shd w:fill="auto" w:val="clear"/>
        </w:rPr>
      </w:pPr>
      <w:r>
        <w:rPr>
          <w:rStyle w:val="Style8"/>
          <w:b w:val="false"/>
          <w:bCs/>
          <w:i w:val="false"/>
          <w:shd w:fill="auto" w:val="clear"/>
        </w:rPr>
        <w:t>Следующие виды ресурсов: электроэнергия, вода, сжатый воздух.</w:t>
      </w:r>
    </w:p>
    <w:p>
      <w:pPr>
        <w:pStyle w:val="Normal"/>
        <w:rPr>
          <w:rStyle w:val="Style8"/>
          <w:b w:val="false"/>
          <w:bCs/>
          <w:i w:val="false"/>
          <w:i w:val="false"/>
          <w:sz w:val="24"/>
          <w:szCs w:val="24"/>
        </w:rPr>
      </w:pPr>
      <w:r>
        <w:rPr>
          <w:b w:val="false"/>
          <w:bCs/>
          <w:i w:val="false"/>
          <w:sz w:val="24"/>
          <w:szCs w:val="24"/>
        </w:rPr>
      </w:r>
    </w:p>
    <w:p>
      <w:pPr>
        <w:pStyle w:val="ListParagraph"/>
        <w:widowControl w:val="false"/>
        <w:numPr>
          <w:ilvl w:val="0"/>
          <w:numId w:val="10"/>
        </w:numPr>
        <w:tabs>
          <w:tab w:val="clear" w:pos="708"/>
          <w:tab w:val="left" w:pos="426" w:leader="none"/>
        </w:tabs>
        <w:spacing w:before="0" w:after="120"/>
        <w:contextualSpacing/>
        <w:jc w:val="both"/>
        <w:rPr>
          <w:rStyle w:val="Style8"/>
          <w:b w:val="false"/>
          <w:bCs/>
          <w:i w:val="false"/>
          <w:i w:val="false"/>
        </w:rPr>
      </w:pPr>
      <w:r>
        <w:rPr>
          <w:rStyle w:val="Style8"/>
          <w:b w:val="false"/>
          <w:bCs/>
          <w:i w:val="false"/>
          <w:shd w:fill="auto" w:val="clear"/>
        </w:rPr>
        <w:t>Площадки (помещения):</w:t>
      </w:r>
    </w:p>
    <w:p>
      <w:pPr>
        <w:pStyle w:val="ListParagraph"/>
        <w:widowControl w:val="false"/>
        <w:numPr>
          <w:ilvl w:val="0"/>
          <w:numId w:val="9"/>
        </w:numPr>
        <w:tabs>
          <w:tab w:val="clear" w:pos="708"/>
          <w:tab w:val="left" w:pos="426" w:leader="none"/>
        </w:tabs>
        <w:spacing w:before="0" w:after="120"/>
        <w:contextualSpacing/>
        <w:jc w:val="both"/>
        <w:rPr>
          <w:rStyle w:val="Style8"/>
          <w:b w:val="false"/>
          <w:bCs/>
          <w:i w:val="false"/>
          <w:i w:val="false"/>
        </w:rPr>
      </w:pPr>
      <w:r>
        <w:rPr>
          <w:rStyle w:val="Style8"/>
          <w:rFonts w:eastAsia="Times New Roman"/>
          <w:b w:val="false"/>
          <w:bCs/>
          <w:i w:val="false"/>
          <w:shd w:fill="auto" w:val="clear"/>
        </w:rPr>
        <w:t>Площадка для установки передвижных временных зданий размещения персонала Субподрядчика.</w:t>
      </w:r>
    </w:p>
    <w:p>
      <w:pPr>
        <w:pStyle w:val="ListParagraph"/>
        <w:widowControl w:val="false"/>
        <w:numPr>
          <w:ilvl w:val="0"/>
          <w:numId w:val="9"/>
        </w:numPr>
        <w:tabs>
          <w:tab w:val="clear" w:pos="708"/>
          <w:tab w:val="left" w:pos="426" w:leader="none"/>
        </w:tabs>
        <w:spacing w:before="0" w:after="120"/>
        <w:contextualSpacing/>
        <w:jc w:val="both"/>
        <w:rPr>
          <w:rStyle w:val="Style8"/>
          <w:b w:val="false"/>
          <w:bCs/>
          <w:i w:val="false"/>
          <w:i w:val="false"/>
        </w:rPr>
      </w:pPr>
      <w:r>
        <w:rPr>
          <w:rStyle w:val="Style8"/>
          <w:rFonts w:eastAsia="Times New Roman"/>
          <w:b w:val="false"/>
          <w:bCs/>
          <w:i w:val="false"/>
          <w:shd w:fill="auto" w:val="clear"/>
        </w:rPr>
        <w:t>Складские помещения и / или площадки для погрузки / разгрузки / складирования / хранения материально-технических ресурсов, оборудования Субподрядчика.</w:t>
      </w:r>
    </w:p>
    <w:p>
      <w:pPr>
        <w:pStyle w:val="Normal"/>
        <w:widowControl w:val="false"/>
        <w:tabs>
          <w:tab w:val="clear" w:pos="708"/>
          <w:tab w:val="left" w:pos="426" w:leader="none"/>
        </w:tabs>
        <w:spacing w:before="0" w:after="120"/>
        <w:jc w:val="both"/>
        <w:rPr>
          <w:rStyle w:val="Style8"/>
          <w:b w:val="false"/>
          <w:bCs/>
          <w:i w:val="false"/>
          <w:i w:val="false"/>
        </w:rPr>
      </w:pPr>
      <w:r>
        <w:rPr>
          <w:b w:val="false"/>
          <w:bCs/>
          <w:i w:val="false"/>
        </w:rPr>
      </w:r>
    </w:p>
    <w:p>
      <w:pPr>
        <w:pStyle w:val="Heading1"/>
        <w:keepLines/>
        <w:numPr>
          <w:ilvl w:val="0"/>
          <w:numId w:val="3"/>
        </w:numPr>
        <w:ind w:left="357" w:hanging="357"/>
        <w:jc w:val="center"/>
        <w:rPr>
          <w:iCs/>
          <w:caps/>
          <w:lang w:val="ru-RU"/>
        </w:rPr>
      </w:pPr>
      <w:bookmarkStart w:id="21" w:name="_Toc221016969"/>
      <w:bookmarkStart w:id="22" w:name="_Toc51339693"/>
      <w:bookmarkStart w:id="23" w:name="_Hlk48209761"/>
      <w:bookmarkStart w:id="24" w:name="_Toc46743510"/>
      <w:bookmarkEnd w:id="23"/>
      <w:bookmarkEnd w:id="24"/>
      <w:r>
        <w:rPr>
          <w:iCs/>
        </w:rPr>
        <w:t xml:space="preserve">Требования к </w:t>
      </w:r>
      <w:bookmarkEnd w:id="22"/>
      <w:r>
        <w:rPr>
          <w:iCs/>
        </w:rPr>
        <w:t>работам</w:t>
      </w:r>
      <w:bookmarkEnd w:id="21"/>
    </w:p>
    <w:p>
      <w:pPr>
        <w:pStyle w:val="Heading4"/>
        <w:numPr>
          <w:ilvl w:val="1"/>
          <w:numId w:val="3"/>
        </w:numPr>
        <w:rPr>
          <w:lang w:val="ru-RU"/>
        </w:rPr>
      </w:pPr>
      <w:bookmarkStart w:id="25" w:name="_Toc221016970"/>
      <w:r>
        <w:rPr/>
        <w:t xml:space="preserve">Требования к объемам и срокам </w:t>
      </w:r>
      <w:r>
        <w:rPr>
          <w:lang w:val="ru-RU"/>
        </w:rPr>
        <w:t>выполнения работ</w:t>
      </w:r>
      <w:bookmarkEnd w:id="25"/>
    </w:p>
    <w:p>
      <w:pPr>
        <w:pStyle w:val="Heading3"/>
        <w:numPr>
          <w:ilvl w:val="2"/>
          <w:numId w:val="3"/>
        </w:numPr>
        <w:rPr/>
      </w:pPr>
      <w:bookmarkStart w:id="26" w:name="_Toc221016971"/>
      <w:r>
        <w:rPr>
          <w:lang w:val="ru-RU"/>
        </w:rPr>
        <w:t>Требования к видам и объемам работ</w:t>
      </w:r>
      <w:bookmarkEnd w:id="26"/>
    </w:p>
    <w:p>
      <w:pPr>
        <w:pStyle w:val="Heading1"/>
        <w:keepLines/>
        <w:numPr>
          <w:ilvl w:val="0"/>
          <w:numId w:val="0"/>
        </w:numPr>
        <w:spacing w:before="240" w:after="60"/>
        <w:ind w:left="0" w:hanging="0"/>
        <w:rPr>
          <w:sz w:val="24"/>
          <w:szCs w:val="24"/>
          <w:lang w:val="ru-RU"/>
        </w:rPr>
      </w:pPr>
      <w:bookmarkStart w:id="27" w:name="_Toc221016972"/>
      <w:bookmarkStart w:id="28" w:name="_Toc51339695"/>
      <w:r>
        <w:rPr>
          <w:sz w:val="24"/>
          <w:szCs w:val="24"/>
        </w:rPr>
        <w:t xml:space="preserve">Таблица </w:t>
      </w:r>
      <w:r>
        <w:rPr>
          <w:sz w:val="24"/>
          <w:szCs w:val="24"/>
          <w:lang w:val="ru-RU"/>
        </w:rPr>
        <w:t>2.</w:t>
      </w:r>
      <w:r>
        <w:rPr>
          <w:sz w:val="24"/>
          <w:szCs w:val="24"/>
        </w:rPr>
        <w:t xml:space="preserve"> </w:t>
      </w:r>
      <w:r>
        <w:rPr>
          <w:sz w:val="24"/>
          <w:szCs w:val="24"/>
          <w:lang w:val="ru-RU"/>
        </w:rPr>
        <w:t xml:space="preserve">Перечень </w:t>
      </w:r>
      <w:bookmarkEnd w:id="28"/>
      <w:r>
        <w:rPr>
          <w:sz w:val="24"/>
          <w:szCs w:val="24"/>
          <w:lang w:val="ru-RU"/>
        </w:rPr>
        <w:t>и объем выполняемых работ</w:t>
      </w:r>
      <w:bookmarkEnd w:id="27"/>
    </w:p>
    <w:p>
      <w:pPr>
        <w:pStyle w:val="Normal"/>
        <w:spacing w:before="240" w:after="60"/>
        <w:rPr>
          <w:sz w:val="24"/>
          <w:szCs w:val="24"/>
        </w:rPr>
      </w:pPr>
      <w:r>
        <w:rPr>
          <w:sz w:val="24"/>
          <w:szCs w:val="24"/>
        </w:rPr>
      </w:r>
    </w:p>
    <w:tbl>
      <w:tblPr>
        <w:tblW w:w="9853" w:type="dxa"/>
        <w:jc w:val="left"/>
        <w:tblInd w:w="221" w:type="dxa"/>
        <w:tblLayout w:type="fixed"/>
        <w:tblCellMar>
          <w:top w:w="0" w:type="dxa"/>
          <w:left w:w="108" w:type="dxa"/>
          <w:bottom w:w="0" w:type="dxa"/>
          <w:right w:w="108" w:type="dxa"/>
        </w:tblCellMar>
        <w:tblLook w:val="0000" w:noVBand="0" w:noHBand="0" w:lastColumn="0" w:firstColumn="0" w:lastRow="0" w:firstRow="0"/>
      </w:tblPr>
      <w:tblGrid>
        <w:gridCol w:w="855"/>
        <w:gridCol w:w="4842"/>
        <w:gridCol w:w="1992"/>
        <w:gridCol w:w="2163"/>
      </w:tblGrid>
      <w:tr>
        <w:trPr/>
        <w:tc>
          <w:tcPr>
            <w:tcW w:w="855"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sz w:val="24"/>
                <w:szCs w:val="24"/>
              </w:rPr>
            </w:pPr>
            <w:r>
              <w:rPr>
                <w:sz w:val="24"/>
                <w:szCs w:val="24"/>
              </w:rPr>
              <w:t>№</w:t>
            </w:r>
          </w:p>
          <w:p>
            <w:pPr>
              <w:pStyle w:val="Normal"/>
              <w:keepNext w:val="true"/>
              <w:widowControl w:val="false"/>
              <w:jc w:val="center"/>
              <w:rPr>
                <w:sz w:val="24"/>
                <w:szCs w:val="24"/>
              </w:rPr>
            </w:pPr>
            <w:r>
              <w:rPr>
                <w:sz w:val="24"/>
                <w:szCs w:val="24"/>
              </w:rPr>
              <w:t>п/п</w:t>
            </w:r>
          </w:p>
        </w:tc>
        <w:tc>
          <w:tcPr>
            <w:tcW w:w="4842"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sz w:val="24"/>
                <w:szCs w:val="24"/>
              </w:rPr>
            </w:pPr>
            <w:r>
              <w:rPr>
                <w:sz w:val="24"/>
                <w:szCs w:val="24"/>
              </w:rPr>
              <w:t>Наименование работ / этапа работ</w:t>
            </w:r>
          </w:p>
        </w:tc>
        <w:tc>
          <w:tcPr>
            <w:tcW w:w="1992"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sz w:val="24"/>
                <w:szCs w:val="24"/>
              </w:rPr>
            </w:pPr>
            <w:r>
              <w:rPr>
                <w:sz w:val="24"/>
                <w:szCs w:val="24"/>
              </w:rPr>
              <w:t>Единица измерения</w:t>
            </w:r>
          </w:p>
        </w:tc>
        <w:tc>
          <w:tcPr>
            <w:tcW w:w="2163"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sz w:val="24"/>
                <w:szCs w:val="24"/>
              </w:rPr>
            </w:pPr>
            <w:r>
              <w:rPr>
                <w:sz w:val="24"/>
                <w:szCs w:val="24"/>
              </w:rPr>
              <w:t>Количество</w:t>
            </w:r>
          </w:p>
        </w:tc>
      </w:tr>
      <w:tr>
        <w:trPr>
          <w:trHeight w:val="267" w:hRule="atLeast"/>
        </w:trPr>
        <w:tc>
          <w:tcPr>
            <w:tcW w:w="855"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1</w:t>
            </w:r>
          </w:p>
        </w:tc>
        <w:tc>
          <w:tcPr>
            <w:tcW w:w="484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2</w:t>
            </w:r>
          </w:p>
        </w:tc>
        <w:tc>
          <w:tcPr>
            <w:tcW w:w="199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3</w:t>
            </w:r>
          </w:p>
        </w:tc>
        <w:tc>
          <w:tcPr>
            <w:tcW w:w="216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4</w:t>
            </w:r>
          </w:p>
        </w:tc>
      </w:tr>
      <w:tr>
        <w:trPr>
          <w:trHeight w:val="1090" w:hRule="atLeast"/>
        </w:trPr>
        <w:tc>
          <w:tcPr>
            <w:tcW w:w="855"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rPr/>
            </w:pPr>
            <w:r>
              <w:rPr/>
            </w:r>
          </w:p>
        </w:tc>
        <w:tc>
          <w:tcPr>
            <w:tcW w:w="4842"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Техническое перевооружение системы вентиляции ФВР5 (Технологическая часть).</w:t>
            </w:r>
          </w:p>
        </w:tc>
        <w:tc>
          <w:tcPr>
            <w:tcW w:w="4155"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В соответствии с ВОР 2219-24-1-ОВ.ВР (Приложение №1 к настоящим ТТ)</w:t>
            </w:r>
          </w:p>
        </w:tc>
      </w:tr>
      <w:tr>
        <w:trPr>
          <w:trHeight w:val="996" w:hRule="atLeast"/>
        </w:trPr>
        <w:tc>
          <w:tcPr>
            <w:tcW w:w="855" w:type="dxa"/>
            <w:tcBorders>
              <w:left w:val="single" w:sz="4" w:space="0" w:color="000000"/>
              <w:bottom w:val="single" w:sz="4" w:space="0" w:color="000000"/>
              <w:right w:val="single" w:sz="4" w:space="0" w:color="000000"/>
            </w:tcBorders>
          </w:tcPr>
          <w:p>
            <w:pPr>
              <w:pStyle w:val="ListParagraph"/>
              <w:widowControl w:val="false"/>
              <w:numPr>
                <w:ilvl w:val="0"/>
                <w:numId w:val="7"/>
              </w:numPr>
              <w:rPr/>
            </w:pPr>
            <w:r>
              <w:rPr/>
            </w:r>
          </w:p>
        </w:tc>
        <w:tc>
          <w:tcPr>
            <w:tcW w:w="4842" w:type="dxa"/>
            <w:tcBorders>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Техническое перевооружение системы вентиляции ФВР5. ПНР системы вентиляции</w:t>
            </w:r>
          </w:p>
          <w:p>
            <w:pPr>
              <w:pStyle w:val="Normal"/>
              <w:widowControl w:val="false"/>
              <w:rPr/>
            </w:pPr>
            <w:r>
              <w:rPr/>
            </w:r>
          </w:p>
        </w:tc>
        <w:tc>
          <w:tcPr>
            <w:tcW w:w="4155" w:type="dxa"/>
            <w:gridSpan w:val="2"/>
            <w:tcBorders>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В соответствии с ВОР: 2219-25-2-ЭО, 2219-26-1-АРЗ, 2219-26-2-АРЗ (Приложение №1 к настоящим ТТ)</w:t>
            </w:r>
          </w:p>
        </w:tc>
      </w:tr>
    </w:tbl>
    <w:p>
      <w:pPr>
        <w:sectPr>
          <w:headerReference w:type="even" r:id="rId2"/>
          <w:headerReference w:type="default" r:id="rId3"/>
          <w:headerReference w:type="first" r:id="rId4"/>
          <w:type w:val="nextPage"/>
          <w:pgSz w:w="11906" w:h="16838"/>
          <w:pgMar w:left="1134" w:right="851" w:gutter="0" w:header="680" w:top="1134" w:footer="0" w:bottom="992"/>
          <w:pgNumType w:fmt="decimal"/>
          <w:formProt w:val="false"/>
          <w:titlePg/>
          <w:textDirection w:val="lrTb"/>
          <w:docGrid w:type="default" w:linePitch="360" w:charSpace="0"/>
        </w:sectPr>
      </w:pPr>
    </w:p>
    <w:p>
      <w:pPr>
        <w:pStyle w:val="Heading3"/>
        <w:numPr>
          <w:ilvl w:val="2"/>
          <w:numId w:val="3"/>
        </w:numPr>
        <w:rPr>
          <w:lang w:val="ru-RU"/>
        </w:rPr>
      </w:pPr>
      <w:bookmarkStart w:id="29" w:name="_Toc221016973"/>
      <w:bookmarkStart w:id="30" w:name="_Toc51339696"/>
      <w:r>
        <w:rPr>
          <w:lang w:val="ru-RU"/>
        </w:rPr>
        <w:t xml:space="preserve">Требования </w:t>
      </w:r>
      <w:bookmarkEnd w:id="30"/>
      <w:r>
        <w:rPr>
          <w:lang w:val="ru-RU"/>
        </w:rPr>
        <w:t>к срокам выполнения работ</w:t>
      </w:r>
      <w:bookmarkEnd w:id="29"/>
    </w:p>
    <w:p>
      <w:pPr>
        <w:pStyle w:val="Heading1"/>
        <w:keepLines/>
        <w:numPr>
          <w:ilvl w:val="0"/>
          <w:numId w:val="0"/>
        </w:numPr>
        <w:spacing w:before="240" w:after="60"/>
        <w:ind w:left="0" w:hanging="0"/>
        <w:rPr>
          <w:sz w:val="24"/>
          <w:szCs w:val="24"/>
          <w:lang w:val="ru-RU"/>
        </w:rPr>
      </w:pPr>
      <w:bookmarkStart w:id="31" w:name="_Toc221016974"/>
      <w:bookmarkStart w:id="32" w:name="_Toc50125127"/>
      <w:bookmarkStart w:id="33" w:name="_Toc51339697"/>
      <w:bookmarkStart w:id="34" w:name="_Toc50125126"/>
      <w:bookmarkEnd w:id="34"/>
      <w:r>
        <w:rPr>
          <w:sz w:val="24"/>
          <w:szCs w:val="24"/>
        </w:rPr>
        <w:t xml:space="preserve">Таблица </w:t>
      </w:r>
      <w:r>
        <w:rPr>
          <w:sz w:val="24"/>
          <w:szCs w:val="24"/>
          <w:lang w:val="ru-RU"/>
        </w:rPr>
        <w:t>3</w:t>
      </w:r>
      <w:r>
        <w:rPr>
          <w:sz w:val="24"/>
          <w:szCs w:val="24"/>
        </w:rPr>
        <w:t xml:space="preserve">. </w:t>
      </w:r>
      <w:bookmarkStart w:id="35" w:name="_Hlk50465284"/>
      <w:r>
        <w:rPr>
          <w:sz w:val="24"/>
          <w:szCs w:val="24"/>
        </w:rPr>
        <w:t xml:space="preserve">Требования по срокам </w:t>
      </w:r>
      <w:bookmarkEnd w:id="32"/>
      <w:bookmarkEnd w:id="33"/>
      <w:bookmarkEnd w:id="35"/>
      <w:r>
        <w:rPr>
          <w:sz w:val="24"/>
          <w:szCs w:val="24"/>
          <w:lang w:val="ru-RU"/>
        </w:rPr>
        <w:t>выполнения работ</w:t>
      </w:r>
      <w:bookmarkEnd w:id="31"/>
    </w:p>
    <w:tbl>
      <w:tblPr>
        <w:tblW w:w="10815" w:type="dxa"/>
        <w:jc w:val="left"/>
        <w:tblInd w:w="-714" w:type="dxa"/>
        <w:tblLayout w:type="fixed"/>
        <w:tblCellMar>
          <w:top w:w="0" w:type="dxa"/>
          <w:left w:w="108" w:type="dxa"/>
          <w:bottom w:w="0" w:type="dxa"/>
          <w:right w:w="108" w:type="dxa"/>
        </w:tblCellMar>
        <w:tblLook w:val="04a0" w:noVBand="1" w:noHBand="0" w:lastColumn="0" w:firstColumn="1" w:lastRow="0" w:firstRow="1"/>
      </w:tblPr>
      <w:tblGrid>
        <w:gridCol w:w="567"/>
        <w:gridCol w:w="6798"/>
        <w:gridCol w:w="1875"/>
        <w:gridCol w:w="1575"/>
      </w:tblGrid>
      <w:tr>
        <w:trPr>
          <w:trHeight w:val="1500" w:hRule="atLeast"/>
        </w:trPr>
        <w:tc>
          <w:tcPr>
            <w:tcW w:w="5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rPr>
              <w:t xml:space="preserve">№ </w:t>
            </w:r>
            <w:r>
              <w:rPr>
                <w:sz w:val="24"/>
                <w:szCs w:val="24"/>
              </w:rPr>
              <w:t>п/п</w:t>
            </w:r>
          </w:p>
        </w:tc>
        <w:tc>
          <w:tcPr>
            <w:tcW w:w="6798" w:type="dxa"/>
            <w:tcBorders>
              <w:top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rPr>
              <w:t>Наименование работ/ этапа работ</w:t>
            </w:r>
          </w:p>
        </w:tc>
        <w:tc>
          <w:tcPr>
            <w:tcW w:w="1875" w:type="dxa"/>
            <w:tcBorders>
              <w:top w:val="single" w:sz="4" w:space="0" w:color="000000"/>
              <w:bottom w:val="single" w:sz="4" w:space="0" w:color="000000"/>
              <w:right w:val="single" w:sz="4" w:space="0" w:color="000000"/>
            </w:tcBorders>
            <w:shd w:color="auto" w:fill="auto" w:val="clear"/>
          </w:tcPr>
          <w:p>
            <w:pPr>
              <w:pStyle w:val="Normal"/>
              <w:widowControl w:val="false"/>
              <w:jc w:val="center"/>
              <w:rPr>
                <w:sz w:val="24"/>
                <w:szCs w:val="24"/>
              </w:rPr>
            </w:pPr>
            <w:r>
              <w:rPr>
                <w:sz w:val="24"/>
                <w:szCs w:val="24"/>
              </w:rPr>
              <w:t>Требования к началу срока выполнения работ/ этапа работ*</w:t>
            </w:r>
          </w:p>
        </w:tc>
        <w:tc>
          <w:tcPr>
            <w:tcW w:w="1575" w:type="dxa"/>
            <w:tcBorders>
              <w:top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rPr>
              <w:t>Требования к окончанию срока выполнения работ / этапа работ*</w:t>
            </w:r>
          </w:p>
        </w:tc>
      </w:tr>
      <w:tr>
        <w:trPr>
          <w:trHeight w:val="152" w:hRule="atLeast"/>
        </w:trPr>
        <w:tc>
          <w:tcPr>
            <w:tcW w:w="5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jc w:val="center"/>
              <w:rPr>
                <w:sz w:val="24"/>
                <w:szCs w:val="24"/>
              </w:rPr>
            </w:pPr>
            <w:r>
              <w:rPr>
                <w:sz w:val="24"/>
                <w:szCs w:val="24"/>
                <w:lang w:val="en-US"/>
              </w:rPr>
              <w:t>1</w:t>
            </w:r>
          </w:p>
        </w:tc>
        <w:tc>
          <w:tcPr>
            <w:tcW w:w="6798"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jc w:val="center"/>
              <w:rPr>
                <w:sz w:val="24"/>
                <w:szCs w:val="24"/>
              </w:rPr>
            </w:pPr>
            <w:r>
              <w:rPr>
                <w:sz w:val="24"/>
                <w:szCs w:val="24"/>
                <w:lang w:val="en-US"/>
              </w:rPr>
              <w:t>2</w:t>
            </w:r>
          </w:p>
        </w:tc>
        <w:tc>
          <w:tcPr>
            <w:tcW w:w="1875"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jc w:val="center"/>
              <w:rPr>
                <w:sz w:val="24"/>
                <w:szCs w:val="24"/>
              </w:rPr>
            </w:pPr>
            <w:r>
              <w:rPr>
                <w:sz w:val="24"/>
                <w:szCs w:val="24"/>
                <w:lang w:val="en-US"/>
              </w:rPr>
              <w:t>5</w:t>
            </w:r>
          </w:p>
        </w:tc>
        <w:tc>
          <w:tcPr>
            <w:tcW w:w="1575"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jc w:val="center"/>
              <w:rPr>
                <w:sz w:val="24"/>
                <w:szCs w:val="24"/>
              </w:rPr>
            </w:pPr>
            <w:r>
              <w:rPr>
                <w:sz w:val="24"/>
                <w:szCs w:val="24"/>
                <w:lang w:val="en-US"/>
              </w:rPr>
              <w:t>6</w:t>
            </w:r>
          </w:p>
        </w:tc>
      </w:tr>
      <w:tr>
        <w:trPr>
          <w:trHeight w:val="918" w:hRule="atLeast"/>
        </w:trPr>
        <w:tc>
          <w:tcPr>
            <w:tcW w:w="56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jc w:val="center"/>
              <w:rPr>
                <w:sz w:val="24"/>
                <w:szCs w:val="24"/>
              </w:rPr>
            </w:pPr>
            <w:r>
              <w:rPr>
                <w:sz w:val="24"/>
                <w:szCs w:val="24"/>
                <w:lang w:val="en-US"/>
              </w:rPr>
              <w:t>1</w:t>
            </w:r>
          </w:p>
        </w:tc>
        <w:tc>
          <w:tcPr>
            <w:tcW w:w="6798" w:type="dxa"/>
            <w:tcBorders>
              <w:top w:val="single" w:sz="4" w:space="0" w:color="000000"/>
              <w:bottom w:val="single" w:sz="4" w:space="0" w:color="000000"/>
              <w:right w:val="single" w:sz="4" w:space="0" w:color="000000"/>
            </w:tcBorders>
            <w:shd w:color="auto" w:fill="auto" w:val="clear"/>
            <w:vAlign w:val="center"/>
          </w:tcPr>
          <w:p>
            <w:pPr>
              <w:pStyle w:val="Normal"/>
              <w:keepNext w:val="true"/>
              <w:keepLines/>
              <w:jc w:val="center"/>
              <w:rPr/>
            </w:pPr>
            <w:r>
              <w:rPr>
                <w:rFonts w:eastAsia="Calibri"/>
                <w:b w:val="false"/>
                <w:bCs w:val="false"/>
                <w:sz w:val="28"/>
                <w:szCs w:val="28"/>
              </w:rPr>
              <w:t>ОКПД2 43.22.12.190 Выполн</w:t>
            </w:r>
            <w:r>
              <w:rPr>
                <w:rFonts w:eastAsia="Calibri"/>
                <w:b w:val="false"/>
                <w:bCs w:val="false"/>
                <w:sz w:val="24"/>
                <w:szCs w:val="24"/>
              </w:rPr>
              <w:t>ение работ</w:t>
            </w:r>
            <w:r>
              <w:rPr>
                <w:b w:val="false"/>
                <w:bCs w:val="false"/>
                <w:sz w:val="24"/>
                <w:szCs w:val="24"/>
              </w:rPr>
              <w:t xml:space="preserve"> </w:t>
            </w:r>
            <w:r>
              <w:rPr>
                <w:rFonts w:eastAsia="Calibri"/>
                <w:b w:val="false"/>
                <w:bCs w:val="false"/>
                <w:sz w:val="24"/>
                <w:szCs w:val="24"/>
              </w:rPr>
              <w:t>по техническому перевооружению системы вентиляции ФВР5 станционного маслохозяйства Новосибирской ГЭС</w:t>
            </w:r>
          </w:p>
        </w:tc>
        <w:tc>
          <w:tcPr>
            <w:tcW w:w="1875"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jc w:val="center"/>
              <w:rPr>
                <w:sz w:val="24"/>
                <w:szCs w:val="24"/>
              </w:rPr>
            </w:pPr>
            <w:r>
              <w:rPr>
                <w:sz w:val="24"/>
                <w:szCs w:val="24"/>
              </w:rPr>
              <w:t>06.07.26</w:t>
            </w:r>
          </w:p>
        </w:tc>
        <w:tc>
          <w:tcPr>
            <w:tcW w:w="1575" w:type="dxa"/>
            <w:tcBorders>
              <w:top w:val="single" w:sz="4" w:space="0" w:color="000000"/>
              <w:bottom w:val="single" w:sz="4" w:space="0" w:color="000000"/>
              <w:right w:val="single" w:sz="4" w:space="0" w:color="000000"/>
            </w:tcBorders>
            <w:shd w:color="auto" w:fill="auto" w:val="clear"/>
            <w:vAlign w:val="center"/>
          </w:tcPr>
          <w:p>
            <w:pPr>
              <w:pStyle w:val="Normal"/>
              <w:widowControl w:val="false"/>
              <w:suppressAutoHyphens w:val="false"/>
              <w:jc w:val="center"/>
              <w:rPr>
                <w:sz w:val="24"/>
                <w:szCs w:val="24"/>
              </w:rPr>
            </w:pPr>
            <w:r>
              <w:rPr>
                <w:sz w:val="24"/>
                <w:szCs w:val="24"/>
              </w:rPr>
              <w:t>28.10.26</w:t>
            </w:r>
          </w:p>
        </w:tc>
      </w:tr>
    </w:tbl>
    <w:p>
      <w:pPr>
        <w:sectPr>
          <w:headerReference w:type="default" r:id="rId5"/>
          <w:headerReference w:type="first" r:id="rId6"/>
          <w:type w:val="nextPage"/>
          <w:pgSz w:w="11906" w:h="16838"/>
          <w:pgMar w:left="1134" w:right="851" w:gutter="0" w:header="680" w:top="1134" w:footer="0" w:bottom="992"/>
          <w:pgNumType w:fmt="decimal"/>
          <w:formProt w:val="false"/>
          <w:textDirection w:val="lrTb"/>
          <w:docGrid w:type="default" w:linePitch="360" w:charSpace="0"/>
        </w:sectPr>
      </w:pPr>
    </w:p>
    <w:p>
      <w:pPr>
        <w:pStyle w:val="Heading4"/>
        <w:numPr>
          <w:ilvl w:val="1"/>
          <w:numId w:val="3"/>
        </w:numPr>
        <w:rPr/>
      </w:pPr>
      <w:bookmarkStart w:id="36" w:name="_Toc51339698"/>
      <w:bookmarkStart w:id="37" w:name="_Toc221016975"/>
      <w:r>
        <w:rPr/>
        <w:t xml:space="preserve">Требования к </w:t>
      </w:r>
      <w:r>
        <w:rPr>
          <w:lang w:val="ru-RU"/>
        </w:rPr>
        <w:t>качеству работ</w:t>
      </w:r>
      <w:bookmarkEnd w:id="37"/>
    </w:p>
    <w:p>
      <w:pPr>
        <w:pStyle w:val="Heading1"/>
        <w:keepLines/>
        <w:numPr>
          <w:ilvl w:val="0"/>
          <w:numId w:val="0"/>
        </w:numPr>
        <w:spacing w:before="240" w:after="60"/>
        <w:ind w:left="0" w:hanging="0"/>
        <w:rPr>
          <w:sz w:val="24"/>
          <w:szCs w:val="24"/>
          <w:lang w:val="ru-RU"/>
        </w:rPr>
      </w:pPr>
      <w:bookmarkStart w:id="38" w:name="_Toc221016976"/>
      <w:r>
        <w:rPr>
          <w:sz w:val="24"/>
          <w:szCs w:val="24"/>
        </w:rPr>
        <w:t>Таблица </w:t>
      </w:r>
      <w:r>
        <w:rPr>
          <w:sz w:val="24"/>
          <w:szCs w:val="24"/>
          <w:lang w:val="ru-RU"/>
        </w:rPr>
        <w:t>4</w:t>
      </w:r>
      <w:r>
        <w:rPr>
          <w:sz w:val="24"/>
          <w:szCs w:val="24"/>
        </w:rPr>
        <w:t xml:space="preserve">. Требования к </w:t>
      </w:r>
      <w:bookmarkEnd w:id="36"/>
      <w:r>
        <w:rPr>
          <w:sz w:val="24"/>
          <w:szCs w:val="24"/>
          <w:lang w:val="ru-RU"/>
        </w:rPr>
        <w:t xml:space="preserve">качеству работ: </w:t>
      </w:r>
      <w:bookmarkEnd w:id="38"/>
      <w:r>
        <w:rPr>
          <w:rFonts w:eastAsia="Calibri"/>
          <w:b w:val="false"/>
          <w:bCs w:val="false"/>
          <w:sz w:val="28"/>
          <w:szCs w:val="28"/>
          <w:lang w:val="ru-RU"/>
        </w:rPr>
        <w:t>ОКПД2 43.22.12.190 Выполн</w:t>
      </w:r>
      <w:r>
        <w:rPr>
          <w:rFonts w:eastAsia="Calibri"/>
          <w:b w:val="false"/>
          <w:bCs w:val="false"/>
          <w:sz w:val="24"/>
          <w:szCs w:val="24"/>
          <w:lang w:val="ru-RU"/>
        </w:rPr>
        <w:t>ение работ</w:t>
      </w:r>
      <w:r>
        <w:rPr>
          <w:b w:val="false"/>
          <w:bCs w:val="false"/>
          <w:sz w:val="24"/>
          <w:szCs w:val="24"/>
          <w:lang w:val="ru-RU"/>
        </w:rPr>
        <w:t xml:space="preserve"> </w:t>
      </w:r>
      <w:r>
        <w:rPr>
          <w:rFonts w:eastAsia="Calibri"/>
          <w:b w:val="false"/>
          <w:bCs w:val="false"/>
          <w:sz w:val="24"/>
          <w:szCs w:val="24"/>
          <w:lang w:val="ru-RU"/>
        </w:rPr>
        <w:t>по техническому перевооружению системы вентиляции ФВР5 станционного маслохозяйства Новосибирской ГЭС</w:t>
      </w:r>
      <w:r>
        <w:rPr>
          <w:sz w:val="24"/>
          <w:szCs w:val="24"/>
          <w:lang w:val="ru-RU"/>
        </w:rPr>
        <w:t xml:space="preserve"> </w:t>
      </w:r>
    </w:p>
    <w:tbl>
      <w:tblPr>
        <w:tblStyle w:val="affff9"/>
        <w:tblW w:w="15137" w:type="dxa"/>
        <w:jc w:val="left"/>
        <w:tblInd w:w="108" w:type="dxa"/>
        <w:tblLayout w:type="fixed"/>
        <w:tblCellMar>
          <w:top w:w="0" w:type="dxa"/>
          <w:left w:w="108" w:type="dxa"/>
          <w:bottom w:w="0" w:type="dxa"/>
          <w:right w:w="108" w:type="dxa"/>
        </w:tblCellMar>
        <w:tblLook w:val="04a0" w:noVBand="1" w:noHBand="0" w:lastColumn="0" w:firstColumn="1" w:lastRow="0" w:firstRow="1"/>
      </w:tblPr>
      <w:tblGrid>
        <w:gridCol w:w="858"/>
        <w:gridCol w:w="2723"/>
        <w:gridCol w:w="6023"/>
        <w:gridCol w:w="2658"/>
        <w:gridCol w:w="2875"/>
      </w:tblGrid>
      <w:tr>
        <w:trPr/>
        <w:tc>
          <w:tcPr>
            <w:tcW w:w="858" w:type="dxa"/>
            <w:vMerge w:val="restart"/>
            <w:tcBorders/>
            <w:vAlign w:val="center"/>
          </w:tcPr>
          <w:p>
            <w:pPr>
              <w:pStyle w:val="Normal"/>
              <w:widowControl w:val="false"/>
              <w:suppressAutoHyphens w:val="true"/>
              <w:spacing w:before="0" w:after="0"/>
              <w:jc w:val="left"/>
              <w:rPr>
                <w:b/>
                <w:bCs/>
                <w:sz w:val="24"/>
                <w:szCs w:val="24"/>
              </w:rPr>
            </w:pPr>
            <w:r>
              <w:rPr>
                <w:rFonts w:eastAsia="Times New Roman" w:cs="Times New Roman"/>
                <w:b/>
                <w:bCs/>
                <w:kern w:val="0"/>
                <w:sz w:val="24"/>
                <w:szCs w:val="24"/>
                <w:lang w:val="ru-RU" w:eastAsia="ru-RU" w:bidi="ar-SA"/>
              </w:rPr>
              <w:t xml:space="preserve">№ </w:t>
            </w:r>
            <w:r>
              <w:rPr>
                <w:rFonts w:eastAsia="Times New Roman" w:cs="Times New Roman"/>
                <w:b/>
                <w:bCs/>
                <w:kern w:val="0"/>
                <w:sz w:val="24"/>
                <w:szCs w:val="24"/>
                <w:lang w:val="ru-RU" w:eastAsia="ru-RU" w:bidi="ar-SA"/>
              </w:rPr>
              <w:t>п/п</w:t>
            </w:r>
          </w:p>
        </w:tc>
        <w:tc>
          <w:tcPr>
            <w:tcW w:w="2723" w:type="dxa"/>
            <w:vMerge w:val="restart"/>
            <w:tcBorders/>
            <w:vAlign w:val="center"/>
          </w:tcPr>
          <w:p>
            <w:pPr>
              <w:pStyle w:val="Normal"/>
              <w:widowControl w:val="false"/>
              <w:suppressAutoHyphens w:val="true"/>
              <w:spacing w:before="0" w:after="0"/>
              <w:jc w:val="center"/>
              <w:rPr>
                <w:b/>
                <w:bCs/>
                <w:sz w:val="24"/>
                <w:szCs w:val="24"/>
              </w:rPr>
            </w:pPr>
            <w:r>
              <w:rPr>
                <w:rFonts w:eastAsia="Times New Roman" w:cs="Times New Roman"/>
                <w:b/>
                <w:bCs/>
                <w:kern w:val="0"/>
                <w:sz w:val="24"/>
                <w:szCs w:val="24"/>
                <w:lang w:val="ru-RU" w:eastAsia="ru-RU" w:bidi="ar-SA"/>
              </w:rPr>
              <w:t>Наименование параметра</w:t>
            </w:r>
          </w:p>
        </w:tc>
        <w:tc>
          <w:tcPr>
            <w:tcW w:w="6023" w:type="dxa"/>
            <w:vMerge w:val="restart"/>
            <w:tcBorders/>
            <w:vAlign w:val="center"/>
          </w:tcPr>
          <w:p>
            <w:pPr>
              <w:pStyle w:val="Normal"/>
              <w:widowControl w:val="false"/>
              <w:suppressAutoHyphens w:val="true"/>
              <w:spacing w:before="0" w:after="0"/>
              <w:jc w:val="center"/>
              <w:rPr>
                <w:b/>
                <w:bCs/>
                <w:sz w:val="24"/>
                <w:szCs w:val="24"/>
              </w:rPr>
            </w:pPr>
            <w:r>
              <w:rPr>
                <w:rFonts w:eastAsia="Times New Roman" w:cs="Times New Roman"/>
                <w:b/>
                <w:bCs/>
                <w:kern w:val="0"/>
                <w:sz w:val="24"/>
                <w:szCs w:val="24"/>
                <w:lang w:val="ru-RU" w:eastAsia="ru-RU" w:bidi="ar-SA"/>
              </w:rPr>
              <w:t xml:space="preserve">Требование </w:t>
            </w:r>
            <w:r>
              <w:rPr>
                <w:rFonts w:eastAsia="Times New Roman" w:cs="Times New Roman"/>
                <w:b/>
                <w:bCs/>
                <w:kern w:val="0"/>
                <w:sz w:val="24"/>
                <w:szCs w:val="24"/>
                <w:lang w:val="en-US" w:eastAsia="ru-RU" w:bidi="ar-SA"/>
              </w:rPr>
              <w:t>Генподрядчика</w:t>
            </w:r>
          </w:p>
        </w:tc>
        <w:tc>
          <w:tcPr>
            <w:tcW w:w="5533" w:type="dxa"/>
            <w:gridSpan w:val="2"/>
            <w:tcBorders/>
            <w:vAlign w:val="center"/>
          </w:tcPr>
          <w:p>
            <w:pPr>
              <w:pStyle w:val="Normal"/>
              <w:widowControl w:val="false"/>
              <w:suppressAutoHyphens w:val="true"/>
              <w:spacing w:before="0" w:after="0"/>
              <w:jc w:val="center"/>
              <w:rPr>
                <w:b/>
                <w:bCs/>
                <w:sz w:val="24"/>
                <w:szCs w:val="24"/>
              </w:rPr>
            </w:pPr>
            <w:r>
              <w:rPr>
                <w:rFonts w:eastAsia="Times New Roman" w:cs="Times New Roman"/>
                <w:b/>
                <w:bCs/>
                <w:kern w:val="0"/>
                <w:sz w:val="24"/>
                <w:szCs w:val="24"/>
                <w:lang w:val="ru-RU" w:eastAsia="ru-RU" w:bidi="ar-SA"/>
              </w:rPr>
              <w:t>Способ подтверждения участником соответствия требованиям</w:t>
            </w:r>
          </w:p>
        </w:tc>
      </w:tr>
      <w:tr>
        <w:trPr/>
        <w:tc>
          <w:tcPr>
            <w:tcW w:w="858" w:type="dxa"/>
            <w:vMerge w:val="continue"/>
            <w:tcBorders/>
            <w:vAlign w:val="center"/>
          </w:tcPr>
          <w:p>
            <w:pPr>
              <w:pStyle w:val="Normal"/>
              <w:widowControl w:val="false"/>
              <w:suppressAutoHyphens w:val="true"/>
              <w:spacing w:before="0" w:after="0"/>
              <w:jc w:val="left"/>
              <w:rPr>
                <w:b/>
                <w:bCs/>
                <w:sz w:val="24"/>
                <w:szCs w:val="24"/>
              </w:rPr>
            </w:pPr>
            <w:r>
              <w:rPr>
                <w:rFonts w:eastAsia="Times New Roman" w:cs="Times New Roman"/>
                <w:b/>
                <w:bCs/>
                <w:kern w:val="0"/>
                <w:sz w:val="24"/>
                <w:szCs w:val="24"/>
                <w:lang w:val="ru-RU" w:eastAsia="ru-RU" w:bidi="ar-SA"/>
              </w:rPr>
            </w:r>
          </w:p>
        </w:tc>
        <w:tc>
          <w:tcPr>
            <w:tcW w:w="2723" w:type="dxa"/>
            <w:vMerge w:val="continue"/>
            <w:tcBorders/>
            <w:vAlign w:val="center"/>
          </w:tcPr>
          <w:p>
            <w:pPr>
              <w:pStyle w:val="Normal"/>
              <w:widowControl w:val="false"/>
              <w:suppressAutoHyphens w:val="true"/>
              <w:spacing w:before="0" w:after="0"/>
              <w:jc w:val="left"/>
              <w:rPr>
                <w:b/>
                <w:bCs/>
                <w:sz w:val="24"/>
                <w:szCs w:val="24"/>
              </w:rPr>
            </w:pPr>
            <w:r>
              <w:rPr>
                <w:rFonts w:eastAsia="Times New Roman" w:cs="Times New Roman"/>
                <w:b/>
                <w:bCs/>
                <w:kern w:val="0"/>
                <w:sz w:val="24"/>
                <w:szCs w:val="24"/>
                <w:lang w:val="ru-RU" w:eastAsia="ru-RU" w:bidi="ar-SA"/>
              </w:rPr>
            </w:r>
          </w:p>
        </w:tc>
        <w:tc>
          <w:tcPr>
            <w:tcW w:w="6023" w:type="dxa"/>
            <w:vMerge w:val="continue"/>
            <w:tcBorders/>
            <w:vAlign w:val="center"/>
          </w:tcPr>
          <w:p>
            <w:pPr>
              <w:pStyle w:val="Normal"/>
              <w:widowControl w:val="false"/>
              <w:suppressAutoHyphens w:val="true"/>
              <w:spacing w:before="0" w:after="0"/>
              <w:jc w:val="left"/>
              <w:rPr>
                <w:b/>
                <w:bCs/>
                <w:sz w:val="24"/>
                <w:szCs w:val="24"/>
              </w:rPr>
            </w:pPr>
            <w:r>
              <w:rPr>
                <w:rFonts w:eastAsia="Times New Roman" w:cs="Times New Roman"/>
                <w:b/>
                <w:bCs/>
                <w:kern w:val="0"/>
                <w:sz w:val="24"/>
                <w:szCs w:val="24"/>
                <w:lang w:val="ru-RU" w:eastAsia="ru-RU" w:bidi="ar-SA"/>
              </w:rPr>
            </w:r>
          </w:p>
        </w:tc>
        <w:tc>
          <w:tcPr>
            <w:tcW w:w="2658" w:type="dxa"/>
            <w:tcBorders/>
            <w:vAlign w:val="center"/>
          </w:tcPr>
          <w:p>
            <w:pPr>
              <w:pStyle w:val="Normal"/>
              <w:widowControl w:val="false"/>
              <w:suppressAutoHyphens w:val="true"/>
              <w:spacing w:before="0" w:after="0"/>
              <w:jc w:val="center"/>
              <w:rPr>
                <w:b/>
                <w:bCs/>
                <w:sz w:val="24"/>
                <w:szCs w:val="24"/>
              </w:rPr>
            </w:pPr>
            <w:r>
              <w:rPr>
                <w:rFonts w:eastAsia="Times New Roman" w:cs="Times New Roman"/>
                <w:b/>
                <w:bCs/>
                <w:kern w:val="0"/>
                <w:sz w:val="24"/>
                <w:szCs w:val="24"/>
                <w:lang w:val="ru-RU" w:eastAsia="ru-RU" w:bidi="ar-SA"/>
              </w:rPr>
              <w:t>Согласие с требованием/ указание характеристик</w:t>
            </w:r>
          </w:p>
        </w:tc>
        <w:tc>
          <w:tcPr>
            <w:tcW w:w="2875" w:type="dxa"/>
            <w:tcBorders/>
            <w:vAlign w:val="center"/>
          </w:tcPr>
          <w:p>
            <w:pPr>
              <w:pStyle w:val="Normal"/>
              <w:widowControl w:val="false"/>
              <w:suppressAutoHyphens w:val="true"/>
              <w:spacing w:before="0" w:after="0"/>
              <w:jc w:val="center"/>
              <w:rPr>
                <w:b/>
                <w:bCs/>
                <w:sz w:val="24"/>
                <w:szCs w:val="24"/>
              </w:rPr>
            </w:pPr>
            <w:r>
              <w:rPr>
                <w:rFonts w:eastAsia="Times New Roman" w:cs="Times New Roman"/>
                <w:b/>
                <w:bCs/>
                <w:kern w:val="0"/>
                <w:sz w:val="24"/>
                <w:szCs w:val="24"/>
                <w:lang w:val="ru-RU" w:eastAsia="ru-RU" w:bidi="ar-SA"/>
              </w:rPr>
              <w:t>Предоставление подтверждающего документа или иной способ подтверждения</w:t>
            </w:r>
          </w:p>
        </w:tc>
      </w:tr>
      <w:tr>
        <w:trPr>
          <w:trHeight w:val="215" w:hRule="atLeast"/>
        </w:trPr>
        <w:tc>
          <w:tcPr>
            <w:tcW w:w="858" w:type="dxa"/>
            <w:tcBorders/>
            <w:vAlign w:val="center"/>
          </w:tcPr>
          <w:p>
            <w:pPr>
              <w:pStyle w:val="Normal"/>
              <w:widowControl w:val="false"/>
              <w:suppressAutoHyphens w:val="true"/>
              <w:spacing w:before="60" w:after="60"/>
              <w:jc w:val="center"/>
              <w:rPr>
                <w:rFonts w:ascii="Times New Roman" w:hAnsi="Times New Roman" w:eastAsia="Times New Roman" w:cs="Times New Roman"/>
                <w:kern w:val="0"/>
                <w:lang w:val="ru-RU" w:eastAsia="ru-RU" w:bidi="ar-SA"/>
              </w:rPr>
            </w:pPr>
            <w:r>
              <w:rPr>
                <w:rFonts w:eastAsia="Times New Roman" w:cs="Times New Roman"/>
                <w:b/>
                <w:kern w:val="0"/>
                <w:sz w:val="24"/>
                <w:szCs w:val="24"/>
                <w:lang w:val="ru-RU" w:eastAsia="ru-RU" w:bidi="ar-SA"/>
              </w:rPr>
              <w:t>1</w:t>
            </w:r>
          </w:p>
        </w:tc>
        <w:tc>
          <w:tcPr>
            <w:tcW w:w="2723" w:type="dxa"/>
            <w:tcBorders/>
            <w:vAlign w:val="center"/>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2</w:t>
            </w:r>
          </w:p>
        </w:tc>
        <w:tc>
          <w:tcPr>
            <w:tcW w:w="6023" w:type="dxa"/>
            <w:tcBorders/>
            <w:vAlign w:val="center"/>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3</w:t>
            </w:r>
          </w:p>
        </w:tc>
        <w:tc>
          <w:tcPr>
            <w:tcW w:w="2658" w:type="dxa"/>
            <w:tcBorders/>
            <w:vAlign w:val="center"/>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4</w:t>
            </w:r>
          </w:p>
        </w:tc>
        <w:tc>
          <w:tcPr>
            <w:tcW w:w="2875" w:type="dxa"/>
            <w:tcBorders/>
            <w:vAlign w:val="center"/>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5</w:t>
            </w:r>
          </w:p>
        </w:tc>
      </w:tr>
      <w:tr>
        <w:trPr/>
        <w:tc>
          <w:tcPr>
            <w:tcW w:w="858" w:type="dxa"/>
            <w:tcBorders/>
            <w:vAlign w:val="center"/>
          </w:tcPr>
          <w:p>
            <w:pPr>
              <w:pStyle w:val="ListParagraph"/>
              <w:widowControl w:val="false"/>
              <w:numPr>
                <w:ilvl w:val="0"/>
                <w:numId w:val="8"/>
              </w:numPr>
              <w:suppressAutoHyphens w:val="true"/>
              <w:spacing w:before="60" w:after="60"/>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746" w:type="dxa"/>
            <w:gridSpan w:val="2"/>
            <w:tcBorders/>
            <w:vAlign w:val="center"/>
          </w:tcPr>
          <w:p>
            <w:pPr>
              <w:pStyle w:val="Normal"/>
              <w:widowControl w:val="false"/>
              <w:suppressAutoHyphens w:val="true"/>
              <w:spacing w:before="0" w:after="0"/>
              <w:jc w:val="left"/>
              <w:rPr>
                <w:b/>
                <w:sz w:val="24"/>
                <w:szCs w:val="24"/>
              </w:rPr>
            </w:pPr>
            <w:r>
              <w:rPr>
                <w:rFonts w:eastAsia="Times New Roman" w:cs="Times New Roman"/>
                <w:b/>
                <w:kern w:val="0"/>
                <w:sz w:val="24"/>
                <w:szCs w:val="24"/>
                <w:lang w:val="ru-RU" w:eastAsia="ru-RU" w:bidi="ar-SA"/>
              </w:rPr>
              <w:t>Требования к выполнению работ</w:t>
            </w:r>
          </w:p>
        </w:tc>
        <w:tc>
          <w:tcPr>
            <w:tcW w:w="2658" w:type="dxa"/>
            <w:vMerge w:val="restart"/>
            <w:tcBorders/>
          </w:tcPr>
          <w:p>
            <w:pPr>
              <w:pStyle w:val="Normal"/>
              <w:widowControl w:val="false"/>
              <w:suppressAutoHyphens w:val="true"/>
              <w:spacing w:before="0" w:after="0"/>
              <w:jc w:val="left"/>
              <w:rPr>
                <w:b/>
                <w:sz w:val="24"/>
                <w:szCs w:val="24"/>
              </w:rPr>
            </w:pPr>
            <w:r>
              <w:rPr>
                <w:rFonts w:eastAsia="Times New Roman" w:cs="Times New Roman"/>
                <w:kern w:val="0"/>
                <w:sz w:val="24"/>
                <w:szCs w:val="24"/>
                <w:lang w:val="ru-RU" w:eastAsia="ru-RU" w:bidi="ar-SA"/>
              </w:rPr>
              <w:t>Участник должен представить в заявке согласие выполнить работы, полностью соответствующую настоящим техническим требованиям, по форме Технического предложения, установленной в Документации о закупке</w:t>
            </w:r>
          </w:p>
        </w:tc>
        <w:tc>
          <w:tcPr>
            <w:tcW w:w="2875" w:type="dxa"/>
            <w:vMerge w:val="restart"/>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r>
          </w:p>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r>
          </w:p>
          <w:p>
            <w:pPr>
              <w:pStyle w:val="Style27"/>
              <w:widowControl w:val="false"/>
              <w:numPr>
                <w:ilvl w:val="0"/>
                <w:numId w:val="0"/>
              </w:numPr>
              <w:suppressAutoHyphens w:val="true"/>
              <w:spacing w:before="0" w:after="60"/>
              <w:jc w:val="left"/>
              <w:outlineLvl w:val="2"/>
              <w:rPr>
                <w:b w:val="false"/>
                <w:lang w:val="en-US"/>
              </w:rPr>
            </w:pPr>
            <w:r>
              <w:rPr>
                <w:rFonts w:eastAsia="Times New Roman" w:cs="Times New Roman"/>
                <w:b w:val="false"/>
                <w:kern w:val="0"/>
                <w:sz w:val="20"/>
                <w:szCs w:val="20"/>
                <w:lang w:val="en-US" w:eastAsia="ru-RU" w:bidi="ar-SA"/>
              </w:rPr>
              <w:t>-</w:t>
            </w:r>
          </w:p>
        </w:tc>
      </w:tr>
      <w:tr>
        <w:trPr/>
        <w:tc>
          <w:tcPr>
            <w:tcW w:w="858" w:type="dxa"/>
            <w:tcBorders/>
            <w:vAlign w:val="center"/>
          </w:tcPr>
          <w:p>
            <w:pPr>
              <w:pStyle w:val="ListParagraph"/>
              <w:widowControl w:val="false"/>
              <w:numPr>
                <w:ilvl w:val="1"/>
                <w:numId w:val="8"/>
              </w:numPr>
              <w:suppressAutoHyphens w:val="true"/>
              <w:spacing w:before="60" w:after="60"/>
              <w:ind w:left="-117" w:firstLine="142"/>
              <w:contextualSpacing/>
              <w:jc w:val="center"/>
              <w:rPr>
                <w:b/>
                <w:bCs/>
              </w:rPr>
            </w:pPr>
            <w:r>
              <w:rPr>
                <w:rFonts w:cs="Times New Roman"/>
                <w:b/>
                <w:bCs/>
                <w:kern w:val="0"/>
                <w:lang w:val="ru-RU" w:eastAsia="ru-RU" w:bidi="ar-SA"/>
              </w:rPr>
            </w:r>
          </w:p>
        </w:tc>
        <w:tc>
          <w:tcPr>
            <w:tcW w:w="8746" w:type="dxa"/>
            <w:gridSpan w:val="2"/>
            <w:tcBorders/>
            <w:vAlign w:val="center"/>
          </w:tcPr>
          <w:p>
            <w:pPr>
              <w:pStyle w:val="Normal"/>
              <w:widowControl w:val="false"/>
              <w:suppressAutoHyphens w:val="true"/>
              <w:spacing w:before="60" w:after="60"/>
              <w:jc w:val="left"/>
              <w:rPr>
                <w:b/>
                <w:sz w:val="24"/>
                <w:szCs w:val="24"/>
              </w:rPr>
            </w:pPr>
            <w:r>
              <w:rPr>
                <w:rFonts w:eastAsia="Times New Roman" w:cs="Times New Roman"/>
                <w:b/>
                <w:kern w:val="0"/>
                <w:sz w:val="24"/>
                <w:szCs w:val="24"/>
                <w:lang w:val="ru-RU" w:eastAsia="ru-RU" w:bidi="ar-SA"/>
              </w:rPr>
              <w:t>Общие требования к выполнению работ</w:t>
            </w:r>
          </w:p>
        </w:tc>
        <w:tc>
          <w:tcPr>
            <w:tcW w:w="2658" w:type="dxa"/>
            <w:vMerge w:val="continue"/>
            <w:tcBorders/>
          </w:tcPr>
          <w:p>
            <w:pPr>
              <w:pStyle w:val="Normal"/>
              <w:widowControl w:val="false"/>
              <w:suppressAutoHyphens w:val="true"/>
              <w:spacing w:before="0" w:after="0"/>
              <w:jc w:val="left"/>
              <w:rPr>
                <w:b/>
                <w:sz w:val="24"/>
                <w:szCs w:val="24"/>
              </w:rPr>
            </w:pPr>
            <w:r>
              <w:rPr>
                <w:rFonts w:eastAsia="Times New Roman" w:cs="Times New Roman"/>
                <w:b/>
                <w:kern w:val="0"/>
                <w:sz w:val="24"/>
                <w:szCs w:val="24"/>
                <w:lang w:val="ru-RU" w:eastAsia="ru-RU" w:bidi="ar-SA"/>
              </w:rPr>
            </w:r>
          </w:p>
        </w:tc>
        <w:tc>
          <w:tcPr>
            <w:tcW w:w="2875" w:type="dxa"/>
            <w:vMerge w:val="continue"/>
            <w:tcBorders/>
          </w:tcPr>
          <w:p>
            <w:pPr>
              <w:pStyle w:val="Style27"/>
              <w:widowControl w:val="false"/>
              <w:numPr>
                <w:ilvl w:val="0"/>
                <w:numId w:val="0"/>
              </w:numPr>
              <w:suppressAutoHyphens w:val="true"/>
              <w:spacing w:before="0" w:after="60"/>
              <w:jc w:val="left"/>
              <w:outlineLvl w:val="2"/>
              <w:rPr>
                <w:b w:val="false"/>
              </w:rPr>
            </w:pPr>
            <w:r>
              <w:rPr>
                <w:rFonts w:eastAsia="Times New Roman" w:cs="Times New Roman"/>
                <w:b w:val="false"/>
                <w:kern w:val="0"/>
                <w:sz w:val="20"/>
                <w:szCs w:val="20"/>
                <w:lang w:val="ru-RU" w:eastAsia="ru-RU" w:bidi="ar-SA"/>
              </w:rPr>
            </w:r>
          </w:p>
        </w:tc>
      </w:tr>
      <w:tr>
        <w:trPr/>
        <w:tc>
          <w:tcPr>
            <w:tcW w:w="858" w:type="dxa"/>
            <w:tcBorders/>
            <w:vAlign w:val="center"/>
          </w:tcPr>
          <w:p>
            <w:pPr>
              <w:pStyle w:val="ListParagraph"/>
              <w:widowControl w:val="false"/>
              <w:numPr>
                <w:ilvl w:val="2"/>
                <w:numId w:val="8"/>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723" w:type="dxa"/>
            <w:tcBorders/>
            <w:shd w:color="auto" w:fill="auto" w:val="clear"/>
          </w:tcPr>
          <w:p>
            <w:pPr>
              <w:pStyle w:val="Normal"/>
              <w:widowControl w:val="false"/>
              <w:suppressAutoHyphens w:val="true"/>
              <w:spacing w:before="0" w:after="0"/>
              <w:jc w:val="left"/>
              <w:rPr>
                <w:iCs/>
                <w:sz w:val="24"/>
                <w:szCs w:val="24"/>
              </w:rPr>
            </w:pPr>
            <w:r>
              <w:rPr>
                <w:rFonts w:eastAsia="Times New Roman" w:cs="Times New Roman"/>
                <w:iCs/>
                <w:kern w:val="0"/>
                <w:sz w:val="24"/>
                <w:szCs w:val="24"/>
                <w:lang w:val="ru-RU" w:eastAsia="ru-RU" w:bidi="ar-SA"/>
              </w:rPr>
              <w:t>Требования к выполнению работ</w:t>
            </w:r>
          </w:p>
        </w:tc>
        <w:tc>
          <w:tcPr>
            <w:tcW w:w="6023" w:type="dxa"/>
            <w:tcBorders/>
            <w:shd w:color="auto" w:fill="auto" w:val="clear"/>
          </w:tcPr>
          <w:p>
            <w:pPr>
              <w:pStyle w:val="Normal"/>
              <w:widowControl w:val="false"/>
              <w:suppressAutoHyphens w:val="true"/>
              <w:spacing w:before="0" w:after="0"/>
              <w:ind w:firstLine="175"/>
              <w:jc w:val="both"/>
              <w:rPr>
                <w:iCs/>
                <w:sz w:val="24"/>
                <w:szCs w:val="24"/>
              </w:rPr>
            </w:pPr>
            <w:r>
              <w:rPr>
                <w:rFonts w:eastAsia="Times New Roman" w:cs="Times New Roman"/>
                <w:iCs/>
                <w:kern w:val="0"/>
                <w:sz w:val="24"/>
                <w:szCs w:val="24"/>
                <w:lang w:val="ru-RU" w:eastAsia="ru-RU" w:bidi="ar-SA"/>
              </w:rPr>
              <w:t>Работы выполняются в соответствии с утвержденной рабочей документацией (РД) АО «Ленгидропроект» шифр 2219 «Техническое перевооружение системы вентиляции ФВР5 станционного маслохозяйства Новосибирской ГЭС».</w:t>
            </w:r>
          </w:p>
          <w:p>
            <w:pPr>
              <w:pStyle w:val="Normal"/>
              <w:widowControl w:val="false"/>
              <w:suppressAutoHyphens w:val="true"/>
              <w:spacing w:before="0" w:after="0"/>
              <w:ind w:firstLine="175"/>
              <w:jc w:val="both"/>
              <w:rPr>
                <w:iCs/>
                <w:sz w:val="24"/>
                <w:szCs w:val="24"/>
              </w:rPr>
            </w:pPr>
            <w:r>
              <w:rPr>
                <w:rFonts w:eastAsia="Times New Roman" w:cs="Times New Roman"/>
                <w:iCs/>
                <w:kern w:val="0"/>
                <w:sz w:val="24"/>
                <w:szCs w:val="24"/>
                <w:lang w:val="ru-RU" w:eastAsia="ru-RU" w:bidi="ar-SA"/>
              </w:rPr>
              <w:t>Субподрядчик обязан разработать календарно-сетевой график (КСГ) производства работ с понедельной разбивкой в MS Project. КСГ подлежит согласованию с Заказчиком и утверждению Генподрядчиком. Работы выполняются в полном соответствии с утвержденным календарно-сетевым графиком.</w:t>
            </w:r>
          </w:p>
          <w:p>
            <w:pPr>
              <w:pStyle w:val="Normal"/>
              <w:widowControl w:val="false"/>
              <w:suppressAutoHyphens w:val="true"/>
              <w:spacing w:before="0" w:after="0"/>
              <w:ind w:firstLine="175"/>
              <w:jc w:val="both"/>
              <w:rPr>
                <w:iCs/>
                <w:sz w:val="24"/>
                <w:szCs w:val="24"/>
              </w:rPr>
            </w:pPr>
            <w:r>
              <w:rPr>
                <w:rFonts w:eastAsia="Times New Roman" w:cs="Times New Roman"/>
                <w:iCs/>
                <w:kern w:val="0"/>
                <w:sz w:val="24"/>
                <w:szCs w:val="24"/>
                <w:lang w:val="ru-RU" w:eastAsia="ru-RU" w:bidi="ar-SA"/>
              </w:rPr>
              <w:t>Субподрядчику необходимо назначить распорядительным документом своего ответственного представителя за оперативное взаимодействие с Генподрядчиком при выполнении работ. Полномочия должны быть подтверждены надлежащим образом оформленной доверенностью или приказом.</w:t>
            </w:r>
          </w:p>
          <w:p>
            <w:pPr>
              <w:pStyle w:val="Normal"/>
              <w:widowControl w:val="false"/>
              <w:suppressAutoHyphens w:val="true"/>
              <w:spacing w:before="0" w:after="0"/>
              <w:ind w:firstLine="175"/>
              <w:jc w:val="both"/>
              <w:rPr>
                <w:iCs/>
                <w:sz w:val="24"/>
                <w:szCs w:val="24"/>
              </w:rPr>
            </w:pPr>
            <w:r>
              <w:rPr>
                <w:rFonts w:eastAsia="Times New Roman" w:cs="Times New Roman"/>
                <w:iCs/>
                <w:kern w:val="0"/>
                <w:sz w:val="24"/>
                <w:szCs w:val="24"/>
                <w:lang w:val="ru-RU" w:eastAsia="ru-RU" w:bidi="ar-SA"/>
              </w:rPr>
              <w:t>Субподрядчику необходимо обеспечить участие своего уполномоченного представителя в еженедельных совещаниях по ходу выполнения работ, с предоставлением (при необходимости) актуализированного КСГ с проставленным фактом выполненных работ, и справкой по минимизации рисков срыва сроков (при наличии рисков).</w:t>
            </w:r>
          </w:p>
          <w:p>
            <w:pPr>
              <w:pStyle w:val="Normal"/>
              <w:widowControl w:val="false"/>
              <w:suppressAutoHyphens w:val="true"/>
              <w:spacing w:before="0" w:after="0"/>
              <w:ind w:firstLine="175"/>
              <w:jc w:val="both"/>
              <w:rPr>
                <w:iCs/>
                <w:sz w:val="24"/>
                <w:szCs w:val="24"/>
              </w:rPr>
            </w:pPr>
            <w:r>
              <w:rPr>
                <w:rFonts w:eastAsia="Times New Roman" w:cs="Times New Roman"/>
                <w:iCs/>
                <w:kern w:val="0"/>
                <w:sz w:val="24"/>
                <w:szCs w:val="24"/>
                <w:lang w:val="ru-RU" w:eastAsia="ru-RU" w:bidi="ar-SA"/>
              </w:rPr>
              <w:t>Уполномоченный представитель Субподрядчика должен быть обучен работе в MS Project или аналогичном программном обеспечении.</w:t>
            </w:r>
          </w:p>
          <w:p>
            <w:pPr>
              <w:pStyle w:val="Normal"/>
              <w:widowControl w:val="false"/>
              <w:suppressAutoHyphens w:val="true"/>
              <w:spacing w:before="0" w:after="0"/>
              <w:ind w:firstLine="175"/>
              <w:jc w:val="both"/>
              <w:rPr>
                <w:iCs/>
                <w:sz w:val="24"/>
                <w:szCs w:val="24"/>
              </w:rPr>
            </w:pPr>
            <w:r>
              <w:rPr>
                <w:rFonts w:eastAsia="Times New Roman" w:cs="Times New Roman"/>
                <w:iCs/>
                <w:kern w:val="0"/>
                <w:sz w:val="24"/>
                <w:szCs w:val="24"/>
                <w:lang w:val="ru-RU" w:eastAsia="ru-RU" w:bidi="ar-SA"/>
              </w:rPr>
              <w:t>Работы выполняются с оформлением необходимых нарядов-допусков и/или распоряжений.</w:t>
            </w:r>
          </w:p>
          <w:p>
            <w:pPr>
              <w:pStyle w:val="Normal"/>
              <w:widowControl w:val="false"/>
              <w:suppressAutoHyphens w:val="true"/>
              <w:spacing w:before="0" w:after="0"/>
              <w:ind w:firstLine="175"/>
              <w:jc w:val="both"/>
              <w:rPr>
                <w:iCs/>
                <w:sz w:val="24"/>
                <w:szCs w:val="24"/>
              </w:rPr>
            </w:pPr>
            <w:r>
              <w:rPr>
                <w:rFonts w:eastAsia="Times New Roman" w:cs="Times New Roman"/>
                <w:iCs/>
                <w:kern w:val="0"/>
                <w:sz w:val="24"/>
                <w:szCs w:val="24"/>
                <w:lang w:val="ru-RU" w:eastAsia="ru-RU" w:bidi="ar-SA"/>
              </w:rPr>
              <w:t>Субподрядчик обязан выполнять работы в полном соответствии с согласованными с Генподрядчиком и Заказчиком и утвержденными Субподрядчиком ППР, ППРв.</w:t>
            </w:r>
          </w:p>
          <w:p>
            <w:pPr>
              <w:pStyle w:val="Normal"/>
              <w:widowControl w:val="false"/>
              <w:suppressAutoHyphens w:val="true"/>
              <w:spacing w:before="0" w:after="0"/>
              <w:ind w:firstLine="175"/>
              <w:jc w:val="both"/>
              <w:rPr>
                <w:iCs/>
                <w:sz w:val="24"/>
                <w:szCs w:val="24"/>
              </w:rPr>
            </w:pPr>
            <w:r>
              <w:rPr>
                <w:rFonts w:eastAsia="Times New Roman" w:cs="Times New Roman"/>
                <w:iCs/>
                <w:kern w:val="0"/>
                <w:sz w:val="24"/>
                <w:szCs w:val="24"/>
                <w:lang w:val="ru-RU" w:eastAsia="ru-RU" w:bidi="ar-SA"/>
              </w:rPr>
              <w:t>Все крупные дефекты, аварийные ситуации и их последствия, произошедшие по вине Субподрядчика, устраняются силами и средствами Субподрядчика.</w:t>
            </w:r>
          </w:p>
          <w:p>
            <w:pPr>
              <w:pStyle w:val="Normal"/>
              <w:widowControl w:val="false"/>
              <w:suppressAutoHyphens w:val="true"/>
              <w:spacing w:before="0" w:after="0"/>
              <w:ind w:firstLine="175"/>
              <w:jc w:val="both"/>
              <w:rPr>
                <w:iCs/>
                <w:sz w:val="24"/>
                <w:szCs w:val="24"/>
              </w:rPr>
            </w:pPr>
            <w:r>
              <w:rPr>
                <w:rFonts w:eastAsia="Times New Roman" w:cs="Times New Roman"/>
                <w:iCs/>
                <w:kern w:val="0"/>
                <w:sz w:val="24"/>
                <w:szCs w:val="24"/>
                <w:lang w:val="ru-RU" w:eastAsia="ru-RU" w:bidi="ar-SA"/>
              </w:rPr>
              <w:t>Субподрядчиком осуществляется ежесменная уборка рабочего места и вывоз отходов в места, указанные Заказчиком. Слив технических жидкостей, сброс отходов в канализацию или на грунт, а также в водные объекты запрещается.</w:t>
            </w:r>
          </w:p>
          <w:p>
            <w:pPr>
              <w:pStyle w:val="Normal"/>
              <w:widowControl w:val="false"/>
              <w:suppressAutoHyphens w:val="true"/>
              <w:spacing w:before="0" w:after="0"/>
              <w:ind w:firstLine="175"/>
              <w:jc w:val="both"/>
              <w:rPr>
                <w:iCs/>
                <w:sz w:val="24"/>
                <w:szCs w:val="24"/>
              </w:rPr>
            </w:pPr>
            <w:r>
              <w:rPr>
                <w:rFonts w:eastAsia="Times New Roman" w:cs="Times New Roman"/>
                <w:iCs/>
                <w:kern w:val="0"/>
                <w:sz w:val="24"/>
                <w:szCs w:val="24"/>
                <w:lang w:val="ru-RU" w:eastAsia="ru-RU" w:bidi="ar-SA"/>
              </w:rPr>
              <w:t>В целях предупреждения производственного травматизма, повышения ответственности у работников, организующих и выполняющих работы на которых могут распространяться производственные факторы филиала ПАО «РусГидро» - «Новосибирская ГЭС» персонал Субподрядчика должен учитывать требования Политики группы РусГидро в области охраны труда (Приложение №3 к настоящим Техническим требованиям).</w:t>
            </w:r>
          </w:p>
          <w:p>
            <w:pPr>
              <w:pStyle w:val="Normal"/>
              <w:widowControl w:val="false"/>
              <w:suppressAutoHyphens w:val="true"/>
              <w:spacing w:before="0" w:after="0"/>
              <w:ind w:firstLine="175"/>
              <w:jc w:val="both"/>
              <w:rPr>
                <w:iCs/>
                <w:sz w:val="24"/>
                <w:szCs w:val="24"/>
              </w:rPr>
            </w:pPr>
            <w:r>
              <w:rPr>
                <w:rFonts w:eastAsia="Times New Roman" w:cs="Times New Roman"/>
                <w:iCs/>
                <w:kern w:val="0"/>
                <w:sz w:val="24"/>
                <w:szCs w:val="24"/>
                <w:lang w:val="ru-RU" w:eastAsia="ru-RU" w:bidi="ar-SA"/>
              </w:rPr>
              <w:t>Субподрядчик за свой счет и собственными силами обязан:</w:t>
            </w:r>
          </w:p>
          <w:p>
            <w:pPr>
              <w:pStyle w:val="Normal"/>
              <w:widowControl w:val="false"/>
              <w:suppressAutoHyphens w:val="true"/>
              <w:spacing w:before="0" w:after="0"/>
              <w:ind w:firstLine="175"/>
              <w:jc w:val="both"/>
              <w:rPr>
                <w:iCs/>
                <w:sz w:val="24"/>
                <w:szCs w:val="24"/>
              </w:rPr>
            </w:pPr>
            <w:r>
              <w:rPr>
                <w:rFonts w:eastAsia="Times New Roman" w:cs="Times New Roman"/>
                <w:iCs/>
                <w:kern w:val="0"/>
                <w:sz w:val="24"/>
                <w:szCs w:val="24"/>
                <w:lang w:val="ru-RU" w:eastAsia="ru-RU" w:bidi="ar-SA"/>
              </w:rPr>
              <w:t>•</w:t>
            </w:r>
            <w:r>
              <w:rPr>
                <w:rFonts w:eastAsia="Times New Roman" w:cs="Times New Roman"/>
                <w:iCs/>
                <w:kern w:val="0"/>
                <w:sz w:val="24"/>
                <w:szCs w:val="24"/>
                <w:lang w:val="ru-RU" w:eastAsia="ru-RU" w:bidi="ar-SA"/>
              </w:rPr>
              <w:tab/>
              <w:t>Установить контейнеры для раздельного сбора и временного накопления отходов на площадках, указанных Заказчиком.</w:t>
            </w:r>
          </w:p>
          <w:p>
            <w:pPr>
              <w:pStyle w:val="Normal"/>
              <w:widowControl w:val="false"/>
              <w:suppressAutoHyphens w:val="true"/>
              <w:spacing w:before="0" w:after="0"/>
              <w:ind w:firstLine="175"/>
              <w:jc w:val="both"/>
              <w:rPr>
                <w:iCs/>
                <w:sz w:val="24"/>
                <w:szCs w:val="24"/>
              </w:rPr>
            </w:pPr>
            <w:r>
              <w:rPr>
                <w:rFonts w:eastAsia="Times New Roman" w:cs="Times New Roman"/>
                <w:iCs/>
                <w:kern w:val="0"/>
                <w:sz w:val="24"/>
                <w:szCs w:val="24"/>
                <w:lang w:val="ru-RU" w:eastAsia="ru-RU" w:bidi="ar-SA"/>
              </w:rPr>
              <w:t>•</w:t>
            </w:r>
            <w:r>
              <w:rPr>
                <w:rFonts w:eastAsia="Times New Roman" w:cs="Times New Roman"/>
                <w:iCs/>
                <w:kern w:val="0"/>
                <w:sz w:val="24"/>
                <w:szCs w:val="24"/>
                <w:lang w:val="ru-RU" w:eastAsia="ru-RU" w:bidi="ar-SA"/>
              </w:rPr>
              <w:tab/>
              <w:t>Организовать временное накопление отходов на указанных Заказчиком площадках и обеспечить обращение с отходами согласно требованиям действующего законодательства РФ. Демонтированное оборудование, подлежащее утилизации, после разборки и резки, перемещается Субподрядчиком на специальную бетонную площадку для хранения лома черных металлов на территории Новосибирской ГЭС.</w:t>
            </w:r>
          </w:p>
          <w:p>
            <w:pPr>
              <w:pStyle w:val="Normal"/>
              <w:widowControl w:val="false"/>
              <w:suppressAutoHyphens w:val="true"/>
              <w:spacing w:before="0" w:after="0"/>
              <w:ind w:firstLine="175"/>
              <w:jc w:val="both"/>
              <w:rPr>
                <w:iCs/>
                <w:sz w:val="24"/>
                <w:szCs w:val="24"/>
              </w:rPr>
            </w:pPr>
            <w:r>
              <w:rPr>
                <w:rFonts w:eastAsia="Times New Roman" w:cs="Times New Roman"/>
                <w:iCs/>
                <w:kern w:val="0"/>
                <w:sz w:val="24"/>
                <w:szCs w:val="24"/>
                <w:lang w:val="ru-RU" w:eastAsia="ru-RU" w:bidi="ar-SA"/>
              </w:rPr>
              <w:t>Кабель и лом цветных металлов должен быть распределен по наименованию, виду, группам и общему обозначению.</w:t>
            </w:r>
          </w:p>
          <w:p>
            <w:pPr>
              <w:pStyle w:val="Normal"/>
              <w:widowControl w:val="false"/>
              <w:suppressAutoHyphens w:val="true"/>
              <w:spacing w:before="0" w:after="0"/>
              <w:ind w:firstLine="175"/>
              <w:jc w:val="both"/>
              <w:rPr>
                <w:iCs/>
                <w:sz w:val="24"/>
                <w:szCs w:val="24"/>
              </w:rPr>
            </w:pPr>
            <w:r>
              <w:rPr>
                <w:rFonts w:eastAsia="Times New Roman" w:cs="Times New Roman"/>
                <w:iCs/>
                <w:kern w:val="0"/>
                <w:sz w:val="24"/>
                <w:szCs w:val="24"/>
                <w:lang w:val="ru-RU" w:eastAsia="ru-RU" w:bidi="ar-SA"/>
              </w:rPr>
              <w:t>Металлолом передается Заказчику по акту приема-передачи установленной Заказчиком формы.</w:t>
            </w:r>
          </w:p>
          <w:p>
            <w:pPr>
              <w:pStyle w:val="Normal"/>
              <w:widowControl w:val="false"/>
              <w:suppressAutoHyphens w:val="true"/>
              <w:spacing w:before="0" w:after="0"/>
              <w:ind w:firstLine="175"/>
              <w:jc w:val="both"/>
              <w:rPr>
                <w:iCs/>
                <w:sz w:val="24"/>
                <w:szCs w:val="24"/>
              </w:rPr>
            </w:pPr>
            <w:r>
              <w:rPr>
                <w:rFonts w:eastAsia="Times New Roman" w:cs="Times New Roman"/>
                <w:iCs/>
                <w:kern w:val="0"/>
                <w:sz w:val="24"/>
                <w:szCs w:val="24"/>
                <w:lang w:val="ru-RU" w:eastAsia="ru-RU" w:bidi="ar-SA"/>
              </w:rPr>
              <w:t>Максимальные размеры транспортных габаритов:</w:t>
            </w:r>
          </w:p>
          <w:p>
            <w:pPr>
              <w:pStyle w:val="Normal"/>
              <w:widowControl w:val="false"/>
              <w:suppressAutoHyphens w:val="true"/>
              <w:spacing w:before="0" w:after="0"/>
              <w:ind w:firstLine="175"/>
              <w:jc w:val="both"/>
              <w:rPr>
                <w:iCs/>
                <w:sz w:val="24"/>
                <w:szCs w:val="24"/>
              </w:rPr>
            </w:pPr>
            <w:r>
              <w:rPr>
                <w:rFonts w:eastAsia="Times New Roman" w:cs="Times New Roman"/>
                <w:iCs/>
                <w:kern w:val="0"/>
                <w:sz w:val="24"/>
                <w:szCs w:val="24"/>
                <w:lang w:val="ru-RU" w:eastAsia="ru-RU" w:bidi="ar-SA"/>
              </w:rPr>
              <w:t>- для черного лома - 3500х2500х1000мм согласно “ГОСТ 2787-2024. Металлы черные вторичные. Общие технические условия”;</w:t>
            </w:r>
          </w:p>
          <w:p>
            <w:pPr>
              <w:pStyle w:val="Normal"/>
              <w:widowControl w:val="false"/>
              <w:suppressAutoHyphens w:val="true"/>
              <w:spacing w:before="0" w:after="0"/>
              <w:ind w:firstLine="175"/>
              <w:jc w:val="both"/>
              <w:rPr>
                <w:iCs/>
                <w:sz w:val="24"/>
                <w:szCs w:val="24"/>
              </w:rPr>
            </w:pPr>
            <w:r>
              <w:rPr>
                <w:rFonts w:eastAsia="Times New Roman" w:cs="Times New Roman"/>
                <w:iCs/>
                <w:kern w:val="0"/>
                <w:sz w:val="24"/>
                <w:szCs w:val="24"/>
                <w:lang w:val="ru-RU" w:eastAsia="ru-RU" w:bidi="ar-SA"/>
              </w:rPr>
              <w:t>- для цветного лома - 1000х1000х2000мм согласно “ГОСТ Р 54564-2025. Лом и отходы цветных металлов и сплавов. Общие технические условия”».</w:t>
            </w:r>
          </w:p>
          <w:p>
            <w:pPr>
              <w:pStyle w:val="Normal"/>
              <w:widowControl w:val="false"/>
              <w:suppressAutoHyphens w:val="true"/>
              <w:spacing w:before="0" w:after="0"/>
              <w:ind w:firstLine="175"/>
              <w:jc w:val="both"/>
              <w:rPr>
                <w:iCs/>
                <w:sz w:val="24"/>
                <w:szCs w:val="24"/>
              </w:rPr>
            </w:pPr>
            <w:r>
              <w:rPr>
                <w:rFonts w:eastAsia="Times New Roman" w:cs="Times New Roman"/>
                <w:iCs/>
                <w:kern w:val="0"/>
                <w:sz w:val="24"/>
                <w:szCs w:val="24"/>
                <w:lang w:val="ru-RU" w:eastAsia="ru-RU" w:bidi="ar-SA"/>
              </w:rPr>
              <w:t>•</w:t>
            </w:r>
            <w:r>
              <w:rPr>
                <w:rFonts w:eastAsia="Times New Roman" w:cs="Times New Roman"/>
                <w:iCs/>
                <w:kern w:val="0"/>
                <w:sz w:val="24"/>
                <w:szCs w:val="24"/>
                <w:lang w:val="ru-RU" w:eastAsia="ru-RU" w:bidi="ar-SA"/>
              </w:rPr>
              <w:tab/>
              <w:t>Предоставить Генподрядчику и Заказчику копию лицензии на обращение с отходами 4 класса опасности в случае осуществления сбора, транспортирования, обезвреживания, утилизации, размещения отходов на полигоне ТБО собственными силами.</w:t>
            </w:r>
          </w:p>
          <w:p>
            <w:pPr>
              <w:pStyle w:val="Normal"/>
              <w:widowControl w:val="false"/>
              <w:suppressAutoHyphens w:val="true"/>
              <w:spacing w:before="0" w:after="0"/>
              <w:ind w:firstLine="175"/>
              <w:jc w:val="both"/>
              <w:rPr>
                <w:iCs/>
                <w:sz w:val="24"/>
                <w:szCs w:val="24"/>
              </w:rPr>
            </w:pPr>
            <w:r>
              <w:rPr>
                <w:rFonts w:eastAsia="Times New Roman" w:cs="Times New Roman"/>
                <w:iCs/>
                <w:kern w:val="0"/>
                <w:sz w:val="24"/>
                <w:szCs w:val="24"/>
                <w:lang w:val="ru-RU" w:eastAsia="ru-RU" w:bidi="ar-SA"/>
              </w:rPr>
              <w:t>•</w:t>
            </w:r>
            <w:r>
              <w:rPr>
                <w:rFonts w:eastAsia="Times New Roman" w:cs="Times New Roman"/>
                <w:iCs/>
                <w:kern w:val="0"/>
                <w:sz w:val="24"/>
                <w:szCs w:val="24"/>
                <w:lang w:val="ru-RU" w:eastAsia="ru-RU" w:bidi="ar-SA"/>
              </w:rPr>
              <w:tab/>
              <w:t xml:space="preserve">В </w:t>
            </w:r>
            <w:bookmarkStart w:id="39" w:name="_GoBack"/>
            <w:bookmarkEnd w:id="39"/>
            <w:r>
              <w:rPr>
                <w:rFonts w:eastAsia="Times New Roman" w:cs="Times New Roman"/>
                <w:iCs/>
                <w:kern w:val="0"/>
                <w:sz w:val="24"/>
                <w:szCs w:val="24"/>
                <w:lang w:val="ru-RU" w:eastAsia="ru-RU" w:bidi="ar-SA"/>
              </w:rPr>
              <w:t>случае привлечения к обращению с отходами лицензированной организации, до начала оказания ею услуг Субподрядчик обязан предоставить Генподрядчику и Заказчику копию договора с такой организацией на сбор, копию лицензии на обращение с отходами 4 класса опасности, транспортирование обезвреживание, утилизацию, размещение отходов на полигоне ТБО;</w:t>
            </w:r>
          </w:p>
          <w:p>
            <w:pPr>
              <w:pStyle w:val="Normal"/>
              <w:widowControl w:val="false"/>
              <w:suppressAutoHyphens w:val="true"/>
              <w:spacing w:before="0" w:after="0"/>
              <w:ind w:firstLine="175"/>
              <w:jc w:val="both"/>
              <w:rPr>
                <w:iCs/>
                <w:sz w:val="24"/>
                <w:szCs w:val="24"/>
              </w:rPr>
            </w:pPr>
            <w:r>
              <w:rPr>
                <w:rFonts w:eastAsia="Times New Roman" w:cs="Times New Roman"/>
                <w:iCs/>
                <w:kern w:val="0"/>
                <w:sz w:val="24"/>
                <w:szCs w:val="24"/>
                <w:lang w:val="ru-RU" w:eastAsia="ru-RU" w:bidi="ar-SA"/>
              </w:rPr>
              <w:t>•</w:t>
            </w:r>
            <w:r>
              <w:rPr>
                <w:rFonts w:eastAsia="Times New Roman" w:cs="Times New Roman"/>
                <w:iCs/>
                <w:kern w:val="0"/>
                <w:sz w:val="24"/>
                <w:szCs w:val="24"/>
                <w:lang w:val="ru-RU" w:eastAsia="ru-RU" w:bidi="ar-SA"/>
              </w:rPr>
              <w:tab/>
              <w:t>Вести учёт образовавшихся отходов и предоставлять Генподрядчику и Заказчику копии первичных бухгалтерских документов, подтверждающих факт сбора, транспортирования, обезвреживания, утилизации, размещения отходов на полигоне ТБО до подписания актов выполненных работ по договору;</w:t>
            </w:r>
          </w:p>
          <w:p>
            <w:pPr>
              <w:pStyle w:val="Normal"/>
              <w:widowControl w:val="false"/>
              <w:suppressAutoHyphens w:val="true"/>
              <w:spacing w:before="0" w:after="0"/>
              <w:ind w:firstLine="175"/>
              <w:jc w:val="both"/>
              <w:rPr>
                <w:iCs/>
                <w:sz w:val="24"/>
                <w:szCs w:val="24"/>
              </w:rPr>
            </w:pPr>
            <w:r>
              <w:rPr>
                <w:rFonts w:eastAsia="Times New Roman" w:cs="Times New Roman"/>
                <w:iCs/>
                <w:kern w:val="0"/>
                <w:sz w:val="24"/>
                <w:szCs w:val="24"/>
                <w:lang w:val="ru-RU" w:eastAsia="ru-RU" w:bidi="ar-SA"/>
              </w:rPr>
              <w:t>•</w:t>
            </w:r>
            <w:r>
              <w:rPr>
                <w:rFonts w:eastAsia="Times New Roman" w:cs="Times New Roman"/>
                <w:iCs/>
                <w:kern w:val="0"/>
                <w:sz w:val="24"/>
                <w:szCs w:val="24"/>
                <w:lang w:val="ru-RU" w:eastAsia="ru-RU" w:bidi="ar-SA"/>
              </w:rPr>
              <w:tab/>
              <w:t>Разобрать отходы производства до позволяющих их транспортировку автотранспортом весовых характеристик не более 5 т., отделить лом чёрного и цветных металлов, доставить и сдать лом Заказчику.</w:t>
            </w:r>
          </w:p>
          <w:p>
            <w:pPr>
              <w:pStyle w:val="Normal"/>
              <w:widowControl w:val="false"/>
              <w:suppressAutoHyphens w:val="true"/>
              <w:spacing w:before="0" w:after="0"/>
              <w:ind w:firstLine="175"/>
              <w:jc w:val="both"/>
              <w:rPr>
                <w:iCs/>
                <w:sz w:val="24"/>
                <w:szCs w:val="24"/>
              </w:rPr>
            </w:pPr>
            <w:r>
              <w:rPr>
                <w:rFonts w:eastAsia="Times New Roman" w:cs="Times New Roman"/>
                <w:iCs/>
                <w:kern w:val="0"/>
                <w:sz w:val="24"/>
                <w:szCs w:val="24"/>
                <w:lang w:val="ru-RU" w:eastAsia="ru-RU" w:bidi="ar-SA"/>
              </w:rPr>
              <w:t>Передача на склад Заказчика демонтированного оборудования, не подлежащего утилизации, и материалов осуществляется по акту приёмки-передачи.</w:t>
            </w:r>
          </w:p>
        </w:tc>
        <w:tc>
          <w:tcPr>
            <w:tcW w:w="2658" w:type="dxa"/>
            <w:vMerge w:val="continue"/>
            <w:tcBorders/>
            <w:shd w:color="auto" w:fill="auto" w:val="clear"/>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r>
          </w:p>
        </w:tc>
        <w:tc>
          <w:tcPr>
            <w:tcW w:w="2875" w:type="dxa"/>
            <w:vMerge w:val="continue"/>
            <w:tcBorders/>
            <w:shd w:color="auto" w:fill="auto" w:val="clear"/>
          </w:tcPr>
          <w:p>
            <w:pPr>
              <w:pStyle w:val="Style27"/>
              <w:widowControl w:val="false"/>
              <w:numPr>
                <w:ilvl w:val="0"/>
                <w:numId w:val="0"/>
              </w:numPr>
              <w:suppressAutoHyphens w:val="true"/>
              <w:spacing w:before="0" w:after="60"/>
              <w:jc w:val="left"/>
              <w:outlineLvl w:val="2"/>
              <w:rPr>
                <w:rFonts w:eastAsia="Times New Roman"/>
                <w:b w:val="false"/>
                <w:lang w:val="ru-RU" w:eastAsia="ru-RU"/>
              </w:rPr>
            </w:pPr>
            <w:r>
              <w:rPr>
                <w:rFonts w:eastAsia="Times New Roman" w:cs="Times New Roman"/>
                <w:b w:val="false"/>
                <w:kern w:val="0"/>
                <w:sz w:val="20"/>
                <w:szCs w:val="20"/>
                <w:lang w:val="ru-RU" w:eastAsia="ru-RU" w:bidi="ar-SA"/>
              </w:rPr>
            </w:r>
          </w:p>
        </w:tc>
      </w:tr>
      <w:tr>
        <w:trPr/>
        <w:tc>
          <w:tcPr>
            <w:tcW w:w="858" w:type="dxa"/>
            <w:tcBorders/>
            <w:vAlign w:val="center"/>
          </w:tcPr>
          <w:p>
            <w:pPr>
              <w:pStyle w:val="ListParagraph"/>
              <w:widowControl w:val="false"/>
              <w:numPr>
                <w:ilvl w:val="2"/>
                <w:numId w:val="8"/>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723" w:type="dxa"/>
            <w:tcBorders/>
            <w:shd w:color="auto" w:fill="auto" w:val="clear"/>
          </w:tcPr>
          <w:p>
            <w:pPr>
              <w:pStyle w:val="Normal"/>
              <w:widowControl w:val="false"/>
              <w:suppressAutoHyphens w:val="true"/>
              <w:spacing w:before="0" w:after="0"/>
              <w:jc w:val="left"/>
              <w:rPr>
                <w:sz w:val="24"/>
                <w:szCs w:val="24"/>
              </w:rPr>
            </w:pPr>
            <w:r>
              <w:rPr>
                <w:rFonts w:eastAsia="Times New Roman" w:cs="Times New Roman"/>
                <w:iCs/>
                <w:kern w:val="0"/>
                <w:sz w:val="24"/>
                <w:szCs w:val="24"/>
                <w:lang w:val="ru-RU" w:eastAsia="ru-RU" w:bidi="ar-SA"/>
              </w:rPr>
              <w:t>Соблюдение при выполнении работ требований и правил федеральных законов, нормативно-правовых актов, нормативно-технических документов</w:t>
            </w:r>
          </w:p>
        </w:tc>
        <w:tc>
          <w:tcPr>
            <w:tcW w:w="6023" w:type="dxa"/>
            <w:tcBorders/>
            <w:shd w:color="auto" w:fill="auto" w:val="clear"/>
          </w:tcPr>
          <w:p>
            <w:pPr>
              <w:pStyle w:val="Normal"/>
              <w:widowControl w:val="false"/>
              <w:suppressAutoHyphens w:val="true"/>
              <w:spacing w:before="0" w:after="0"/>
              <w:ind w:firstLine="175"/>
              <w:jc w:val="both"/>
              <w:rPr>
                <w:iCs/>
                <w:sz w:val="24"/>
                <w:szCs w:val="24"/>
              </w:rPr>
            </w:pPr>
            <w:r>
              <w:rPr>
                <w:rFonts w:eastAsia="Times New Roman" w:cs="Times New Roman"/>
                <w:iCs/>
                <w:kern w:val="0"/>
                <w:sz w:val="24"/>
                <w:szCs w:val="24"/>
                <w:lang w:val="ru-RU" w:eastAsia="ru-RU" w:bidi="ar-SA"/>
              </w:rPr>
              <w:t>При выполнении работ Субподрядчик должен руководствоваться следующими нормативно-правовыми актами:</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ГОСТ 12.2.003-91 Система стандартов безопасности труда. Оборудование производственное. Общие требования безопасности;</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Приказ Минэнерго России от 04.10.2022 № 1070</w:t>
              <w:br/>
              <w:t>«Об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 № 757, от 12 июля 2018 г. № 548»</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Федеральный закон от 21.07.1997 № 117-ФЗ «О безопасности гидротехнических сооружений»</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Федеральный закон от 20.12.2004 №166-ФЗ «О рыболовстве и сохранении водных биологических ресурсов»;</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Федеральный закон от 10.01.2002 № 7-ФЗ «Об охране окружающей среды»;</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Федеральный закон от 03.06.2006 № 74-ФЗ «Водный кодекс РФ»;</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Федеральный закон от 27.12.2002 № 184-ФЗ «О техническом регулировании»;</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Федеральный закон от 30.12.2009 № 384-ФЗ «Технический регламент о безопасности зданий и сооружений»;</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Перечень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от 30.12.2009 № 384-ФЗ «Технический регламент о безопасности зданий и сооружений»;</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СП 12-136-2002 «Безопасность труда в строительстве. Решения по охране труда и промышленной безопасности в проектах организации строительства и проектах производства работ»;</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Правила по охране труда при эксплуатации электроустановок (утв. приказом Минтруда России от 15.12.2020 № 903н);</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"Правила устройства электроустановок (ПУЭ)" (изд. 6,7), утв. Приказом Минэнерго России от 08.07.2002 № 204;</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Правила по охране труда при работе на высоте (утв. приказом Минтруда России от 16.11.2020 № 782н);</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Правила по охране труда при погрузочно-разгрузочных работах и размещении грузов (утв. приказом Минтруда России от 28.10.2020 №753н);</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Федеральный закон от 22.07.2008 № 123-ФЗ «Технический регламент о требованиях пожарной безопасности</w:t>
            </w:r>
            <w:r>
              <w:rPr>
                <w:rFonts w:eastAsia="Times New Roman" w:cs="Times New Roman"/>
                <w:bCs/>
                <w:kern w:val="0"/>
                <w:sz w:val="24"/>
                <w:szCs w:val="24"/>
                <w:lang w:val="ru-RU" w:eastAsia="ru-RU" w:bidi="ar-SA"/>
              </w:rPr>
              <w:t>»</w:t>
            </w:r>
            <w:r>
              <w:rPr>
                <w:rFonts w:eastAsia="Times New Roman" w:cs="Times New Roman"/>
                <w:kern w:val="0"/>
                <w:sz w:val="24"/>
                <w:szCs w:val="24"/>
                <w:lang w:val="ru-RU" w:eastAsia="ru-RU" w:bidi="ar-SA"/>
              </w:rPr>
              <w:t>;</w:t>
            </w:r>
          </w:p>
          <w:p>
            <w:pPr>
              <w:pStyle w:val="Normal"/>
              <w:widowControl w:val="false"/>
              <w:suppressAutoHyphens w:val="true"/>
              <w:spacing w:before="0" w:after="0"/>
              <w:ind w:firstLine="175"/>
              <w:jc w:val="both"/>
              <w:rPr>
                <w:bCs/>
                <w:sz w:val="24"/>
                <w:szCs w:val="24"/>
              </w:rPr>
            </w:pPr>
            <w:r>
              <w:rPr>
                <w:rFonts w:eastAsia="Times New Roman" w:cs="Times New Roman"/>
                <w:bCs/>
                <w:kern w:val="0"/>
                <w:sz w:val="24"/>
                <w:szCs w:val="24"/>
                <w:lang w:val="ru-RU" w:eastAsia="ru-RU" w:bidi="ar-SA"/>
              </w:rPr>
              <w:t>- Федеральный закон от 21.12.1994 № ФЗ-69 «О пожарной безопасности»;</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Постановление Правительства РФ от 16.09.2020 № 1479 «Об утверждении Правил противопожарного режима в РФ</w:t>
            </w:r>
            <w:r>
              <w:rPr>
                <w:rFonts w:eastAsia="Times New Roman" w:cs="Times New Roman"/>
                <w:bCs/>
                <w:kern w:val="0"/>
                <w:sz w:val="24"/>
                <w:szCs w:val="24"/>
                <w:lang w:val="ru-RU" w:eastAsia="ru-RU" w:bidi="ar-SA"/>
              </w:rPr>
              <w:t>»</w:t>
            </w:r>
            <w:r>
              <w:rPr>
                <w:rFonts w:eastAsia="Times New Roman" w:cs="Times New Roman"/>
                <w:kern w:val="0"/>
                <w:sz w:val="24"/>
                <w:szCs w:val="24"/>
                <w:lang w:val="ru-RU" w:eastAsia="ru-RU" w:bidi="ar-SA"/>
              </w:rPr>
              <w:t>;</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СП 48.13330.2019 «Организация строительства</w:t>
            </w:r>
            <w:r>
              <w:rPr>
                <w:rFonts w:eastAsia="Times New Roman" w:cs="Times New Roman"/>
                <w:bCs/>
                <w:kern w:val="0"/>
                <w:sz w:val="24"/>
                <w:szCs w:val="24"/>
                <w:lang w:val="ru-RU" w:eastAsia="ru-RU" w:bidi="ar-SA"/>
              </w:rPr>
              <w:t>»</w:t>
            </w:r>
            <w:r>
              <w:rPr>
                <w:rFonts w:eastAsia="Times New Roman" w:cs="Times New Roman"/>
                <w:kern w:val="0"/>
                <w:sz w:val="24"/>
                <w:szCs w:val="24"/>
                <w:lang w:val="ru-RU" w:eastAsia="ru-RU" w:bidi="ar-SA"/>
              </w:rPr>
              <w:t>;</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СНиП 12-03-2001 «Безопасность труда в строительстве. Часть 1. Общие требования</w:t>
            </w:r>
            <w:r>
              <w:rPr>
                <w:rFonts w:eastAsia="Times New Roman" w:cs="Times New Roman"/>
                <w:bCs/>
                <w:kern w:val="0"/>
                <w:sz w:val="24"/>
                <w:szCs w:val="24"/>
                <w:lang w:val="ru-RU" w:eastAsia="ru-RU" w:bidi="ar-SA"/>
              </w:rPr>
              <w:t>»</w:t>
            </w:r>
            <w:r>
              <w:rPr>
                <w:rFonts w:eastAsia="Times New Roman" w:cs="Times New Roman"/>
                <w:kern w:val="0"/>
                <w:sz w:val="24"/>
                <w:szCs w:val="24"/>
                <w:lang w:val="ru-RU" w:eastAsia="ru-RU" w:bidi="ar-SA"/>
              </w:rPr>
              <w:t>;</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СНиП 12-04-2002 «Безопасность труда в строительстве. Часть 2. Строительное производство</w:t>
            </w:r>
            <w:r>
              <w:rPr>
                <w:rFonts w:eastAsia="Times New Roman" w:cs="Times New Roman"/>
                <w:bCs/>
                <w:kern w:val="0"/>
                <w:sz w:val="24"/>
                <w:szCs w:val="24"/>
                <w:lang w:val="ru-RU" w:eastAsia="ru-RU" w:bidi="ar-SA"/>
              </w:rPr>
              <w:t>»</w:t>
            </w:r>
            <w:r>
              <w:rPr>
                <w:rFonts w:eastAsia="Times New Roman" w:cs="Times New Roman"/>
                <w:kern w:val="0"/>
                <w:sz w:val="24"/>
                <w:szCs w:val="24"/>
                <w:lang w:val="ru-RU" w:eastAsia="ru-RU" w:bidi="ar-SA"/>
              </w:rPr>
              <w:t>;</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Приказ Ростехнадзора от 26.11.2020 № 461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(далее – ФНП ПС);</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В случае если какой-либо из указанных в настоящей Ведомости нормативный документ был отменен в связи с выпуском новой редакции стандарта, то необходимо применять нормативный документ, принятый в его развитие.</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Указанные в перечне нормативной документации руководящие документы не противоречат требованиям федерального законодательства, федеральной нормативной документации и ГОСТ, а углубляют и конкретизируют их требования к выполнению работ на объекте повышенной опасности.</w:t>
            </w:r>
          </w:p>
        </w:tc>
        <w:tc>
          <w:tcPr>
            <w:tcW w:w="2658" w:type="dxa"/>
            <w:vMerge w:val="continue"/>
            <w:tcBorders/>
            <w:shd w:color="auto" w:fill="auto" w:val="clear"/>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r>
          </w:p>
        </w:tc>
        <w:tc>
          <w:tcPr>
            <w:tcW w:w="2875" w:type="dxa"/>
            <w:vMerge w:val="continue"/>
            <w:tcBorders/>
            <w:shd w:color="auto" w:fill="auto" w:val="clear"/>
          </w:tcPr>
          <w:p>
            <w:pPr>
              <w:pStyle w:val="Style27"/>
              <w:widowControl w:val="false"/>
              <w:numPr>
                <w:ilvl w:val="0"/>
                <w:numId w:val="0"/>
              </w:numPr>
              <w:suppressAutoHyphens w:val="true"/>
              <w:spacing w:before="0" w:after="60"/>
              <w:jc w:val="left"/>
              <w:outlineLvl w:val="2"/>
              <w:rPr>
                <w:rFonts w:eastAsia="Times New Roman"/>
                <w:b w:val="false"/>
                <w:lang w:val="ru-RU" w:eastAsia="ru-RU"/>
              </w:rPr>
            </w:pPr>
            <w:r>
              <w:rPr>
                <w:rFonts w:eastAsia="Times New Roman" w:cs="Times New Roman"/>
                <w:b w:val="false"/>
                <w:kern w:val="0"/>
                <w:sz w:val="20"/>
                <w:szCs w:val="20"/>
                <w:lang w:val="ru-RU" w:eastAsia="ru-RU" w:bidi="ar-SA"/>
              </w:rPr>
            </w:r>
          </w:p>
        </w:tc>
      </w:tr>
      <w:tr>
        <w:trPr/>
        <w:tc>
          <w:tcPr>
            <w:tcW w:w="858" w:type="dxa"/>
            <w:tcBorders/>
            <w:vAlign w:val="center"/>
          </w:tcPr>
          <w:p>
            <w:pPr>
              <w:pStyle w:val="ListParagraph"/>
              <w:widowControl w:val="false"/>
              <w:numPr>
                <w:ilvl w:val="2"/>
                <w:numId w:val="8"/>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723" w:type="dxa"/>
            <w:tcBorders/>
            <w:shd w:color="auto" w:fill="auto" w:val="clear"/>
          </w:tcPr>
          <w:p>
            <w:pPr>
              <w:pStyle w:val="Normal"/>
              <w:widowControl w:val="false"/>
              <w:suppressAutoHyphens w:val="true"/>
              <w:spacing w:before="0" w:after="0"/>
              <w:jc w:val="left"/>
              <w:rPr>
                <w:iCs/>
                <w:sz w:val="24"/>
                <w:szCs w:val="24"/>
              </w:rPr>
            </w:pPr>
            <w:r>
              <w:rPr>
                <w:rFonts w:eastAsia="Times New Roman" w:cs="Times New Roman"/>
                <w:iCs/>
                <w:kern w:val="0"/>
                <w:sz w:val="24"/>
                <w:szCs w:val="24"/>
                <w:lang w:val="ru-RU" w:eastAsia="ru-RU" w:bidi="ar-SA"/>
              </w:rPr>
              <w:t>Особые условия работы оборудования и производства работ</w:t>
            </w:r>
          </w:p>
        </w:tc>
        <w:tc>
          <w:tcPr>
            <w:tcW w:w="6023" w:type="dxa"/>
            <w:tcBorders/>
            <w:shd w:color="auto" w:fill="auto" w:val="clear"/>
          </w:tcPr>
          <w:p>
            <w:pPr>
              <w:pStyle w:val="Normal"/>
              <w:widowControl w:val="false"/>
              <w:suppressAutoHyphens w:val="true"/>
              <w:spacing w:before="0" w:after="0"/>
              <w:ind w:firstLine="175"/>
              <w:jc w:val="both"/>
              <w:rPr>
                <w:iCs/>
                <w:sz w:val="24"/>
                <w:szCs w:val="24"/>
              </w:rPr>
            </w:pPr>
            <w:r>
              <w:rPr>
                <w:rFonts w:eastAsia="Times New Roman" w:cs="Times New Roman"/>
                <w:iCs/>
                <w:kern w:val="0"/>
                <w:sz w:val="24"/>
                <w:szCs w:val="24"/>
                <w:lang w:val="ru-RU" w:eastAsia="ru-RU" w:bidi="ar-SA"/>
              </w:rPr>
              <w:t>1. Производство работ в существующих зданиях и сооружениях в стесненных условиях: с наличием в зоне производства работ действующего технологического оборудования (станков, установок, кранов и т.п.) или загромождающих предметов (лабораторное оборудование, мебель и т.п.) или движения транспорта по внутрицеховым путям.</w:t>
            </w:r>
          </w:p>
          <w:p>
            <w:pPr>
              <w:pStyle w:val="Normal"/>
              <w:widowControl w:val="false"/>
              <w:suppressAutoHyphens w:val="true"/>
              <w:spacing w:before="0" w:after="0"/>
              <w:ind w:firstLine="175"/>
              <w:jc w:val="both"/>
              <w:rPr>
                <w:iCs/>
                <w:sz w:val="24"/>
                <w:szCs w:val="24"/>
              </w:rPr>
            </w:pPr>
            <w:r>
              <w:rPr>
                <w:rFonts w:eastAsia="Times New Roman" w:cs="Times New Roman"/>
                <w:iCs/>
                <w:kern w:val="0"/>
                <w:sz w:val="24"/>
                <w:szCs w:val="24"/>
                <w:lang w:val="ru-RU" w:eastAsia="ru-RU" w:bidi="ar-SA"/>
              </w:rPr>
              <w:t>2. Производство работ на высоте.</w:t>
            </w:r>
          </w:p>
        </w:tc>
        <w:tc>
          <w:tcPr>
            <w:tcW w:w="2658" w:type="dxa"/>
            <w:vMerge w:val="continue"/>
            <w:tcBorders/>
            <w:shd w:color="auto" w:fill="auto" w:val="clear"/>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r>
          </w:p>
        </w:tc>
        <w:tc>
          <w:tcPr>
            <w:tcW w:w="2875" w:type="dxa"/>
            <w:vMerge w:val="continue"/>
            <w:tcBorders/>
            <w:shd w:color="auto" w:fill="auto" w:val="clear"/>
          </w:tcPr>
          <w:p>
            <w:pPr>
              <w:pStyle w:val="Style27"/>
              <w:widowControl w:val="false"/>
              <w:numPr>
                <w:ilvl w:val="0"/>
                <w:numId w:val="0"/>
              </w:numPr>
              <w:suppressAutoHyphens w:val="true"/>
              <w:spacing w:before="0" w:after="60"/>
              <w:jc w:val="left"/>
              <w:outlineLvl w:val="2"/>
              <w:rPr>
                <w:rFonts w:eastAsia="Times New Roman"/>
                <w:b w:val="false"/>
                <w:lang w:val="ru-RU" w:eastAsia="ru-RU"/>
              </w:rPr>
            </w:pPr>
            <w:r>
              <w:rPr>
                <w:rFonts w:eastAsia="Times New Roman" w:cs="Times New Roman"/>
                <w:b w:val="false"/>
                <w:kern w:val="0"/>
                <w:sz w:val="20"/>
                <w:szCs w:val="20"/>
                <w:lang w:val="ru-RU" w:eastAsia="ru-RU" w:bidi="ar-SA"/>
              </w:rPr>
            </w:r>
          </w:p>
        </w:tc>
      </w:tr>
      <w:tr>
        <w:trPr/>
        <w:tc>
          <w:tcPr>
            <w:tcW w:w="858" w:type="dxa"/>
            <w:tcBorders/>
            <w:vAlign w:val="center"/>
          </w:tcPr>
          <w:p>
            <w:pPr>
              <w:pStyle w:val="ListParagraph"/>
              <w:widowControl w:val="false"/>
              <w:numPr>
                <w:ilvl w:val="1"/>
                <w:numId w:val="8"/>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746" w:type="dxa"/>
            <w:gridSpan w:val="2"/>
            <w:tcBorders/>
            <w:vAlign w:val="center"/>
          </w:tcPr>
          <w:p>
            <w:pPr>
              <w:pStyle w:val="Normal"/>
              <w:widowControl w:val="false"/>
              <w:suppressAutoHyphens w:val="true"/>
              <w:spacing w:before="60" w:after="0"/>
              <w:jc w:val="both"/>
              <w:rPr>
                <w:b/>
                <w:sz w:val="24"/>
                <w:szCs w:val="24"/>
              </w:rPr>
            </w:pPr>
            <w:r>
              <w:rPr>
                <w:rFonts w:eastAsia="Times New Roman" w:cs="Times New Roman"/>
                <w:b/>
                <w:kern w:val="0"/>
                <w:sz w:val="24"/>
                <w:szCs w:val="24"/>
                <w:lang w:val="ru-RU" w:eastAsia="ru-RU" w:bidi="ar-SA"/>
              </w:rPr>
              <w:t>Требования к организации работ</w:t>
            </w:r>
          </w:p>
        </w:tc>
        <w:tc>
          <w:tcPr>
            <w:tcW w:w="2658" w:type="dxa"/>
            <w:vMerge w:val="continue"/>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r>
          </w:p>
        </w:tc>
        <w:tc>
          <w:tcPr>
            <w:tcW w:w="2875" w:type="dxa"/>
            <w:vMerge w:val="continue"/>
            <w:tcBorders/>
          </w:tcPr>
          <w:p>
            <w:pPr>
              <w:pStyle w:val="Style27"/>
              <w:widowControl w:val="false"/>
              <w:numPr>
                <w:ilvl w:val="0"/>
                <w:numId w:val="0"/>
              </w:numPr>
              <w:suppressAutoHyphens w:val="true"/>
              <w:spacing w:before="0" w:after="60"/>
              <w:jc w:val="left"/>
              <w:outlineLvl w:val="2"/>
              <w:rPr>
                <w:b w:val="false"/>
              </w:rPr>
            </w:pPr>
            <w:r>
              <w:rPr>
                <w:rFonts w:eastAsia="Times New Roman" w:cs="Times New Roman"/>
                <w:b w:val="false"/>
                <w:kern w:val="0"/>
                <w:sz w:val="20"/>
                <w:szCs w:val="20"/>
                <w:lang w:val="ru-RU" w:eastAsia="ru-RU" w:bidi="ar-SA"/>
              </w:rPr>
            </w:r>
          </w:p>
        </w:tc>
      </w:tr>
      <w:tr>
        <w:trPr/>
        <w:tc>
          <w:tcPr>
            <w:tcW w:w="858" w:type="dxa"/>
            <w:tcBorders/>
            <w:vAlign w:val="center"/>
          </w:tcPr>
          <w:p>
            <w:pPr>
              <w:pStyle w:val="ListParagraph"/>
              <w:widowControl w:val="false"/>
              <w:numPr>
                <w:ilvl w:val="2"/>
                <w:numId w:val="8"/>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723"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iCs/>
                <w:kern w:val="0"/>
                <w:sz w:val="24"/>
                <w:szCs w:val="24"/>
                <w:lang w:val="ru-RU" w:eastAsia="ru-RU" w:bidi="ar-SA"/>
              </w:rPr>
              <w:t>Организационно-технические мероприятия по допуску персонала Субподрядчика</w:t>
            </w:r>
          </w:p>
        </w:tc>
        <w:tc>
          <w:tcPr>
            <w:tcW w:w="6023" w:type="dxa"/>
            <w:tcBorders/>
          </w:tcPr>
          <w:p>
            <w:pPr>
              <w:pStyle w:val="Normal"/>
              <w:widowControl w:val="false"/>
              <w:suppressAutoHyphens w:val="true"/>
              <w:spacing w:before="0" w:after="0"/>
              <w:ind w:firstLine="175"/>
              <w:jc w:val="both"/>
              <w:rPr>
                <w:iCs/>
                <w:sz w:val="24"/>
                <w:szCs w:val="24"/>
              </w:rPr>
            </w:pPr>
            <w:r>
              <w:rPr>
                <w:rFonts w:eastAsia="Times New Roman" w:cs="Times New Roman"/>
                <w:iCs/>
                <w:kern w:val="0"/>
                <w:sz w:val="24"/>
                <w:szCs w:val="24"/>
                <w:lang w:val="ru-RU" w:eastAsia="ru-RU" w:bidi="ar-SA"/>
              </w:rPr>
              <w:t>Допуск персонала Субподрядчика для выполнения работ осуществляется в соответствии с требованиями Регламента процесса «Допуск персонала подрядных организаций на объекты ПАО "РусГидро", утв. приказом ПАО «РусГидро» от 28.04.2023 № 300 (Приложение №4 к настоящим Техническим требованиям);</w:t>
            </w:r>
          </w:p>
          <w:p>
            <w:pPr>
              <w:pStyle w:val="Normal"/>
              <w:widowControl w:val="false"/>
              <w:tabs>
                <w:tab w:val="clear" w:pos="708"/>
                <w:tab w:val="left" w:pos="426" w:leader="none"/>
              </w:tabs>
              <w:suppressAutoHyphens w:val="true"/>
              <w:spacing w:before="60" w:after="0"/>
              <w:ind w:firstLine="175"/>
              <w:jc w:val="both"/>
              <w:rPr>
                <w:sz w:val="24"/>
                <w:szCs w:val="24"/>
              </w:rPr>
            </w:pPr>
            <w:r>
              <w:rPr>
                <w:rFonts w:eastAsia="Times New Roman" w:cs="Times New Roman"/>
                <w:iCs/>
                <w:kern w:val="0"/>
                <w:sz w:val="24"/>
                <w:szCs w:val="24"/>
                <w:lang w:val="ru-RU" w:eastAsia="ru-RU" w:bidi="ar-SA"/>
              </w:rPr>
              <w:t xml:space="preserve">Допуск персонала Субподрядчика и автомобильного транспорта, задействованного для выполнения работ, осуществляется в соответствии с Положением о пропускном и внутриобъектовом режимах (утв. приказом филиала ПАО «РусГидро» - «Новосибирская ГЭС» от </w:t>
            </w:r>
            <w:r>
              <w:rPr>
                <w:rFonts w:eastAsia="Times New Roman" w:cs="Times New Roman"/>
                <w:kern w:val="0"/>
                <w:sz w:val="24"/>
                <w:szCs w:val="24"/>
                <w:lang w:val="ru-RU" w:eastAsia="ru-RU" w:bidi="ar-SA"/>
              </w:rPr>
              <w:t>19.07.2024 № НГЭС/93-201)</w:t>
            </w:r>
            <w:r>
              <w:rPr>
                <w:rFonts w:eastAsia="Times New Roman" w:cs="Times New Roman"/>
                <w:iCs/>
                <w:kern w:val="0"/>
                <w:sz w:val="24"/>
                <w:szCs w:val="24"/>
                <w:lang w:val="ru-RU" w:eastAsia="ru-RU" w:bidi="ar-SA"/>
              </w:rPr>
              <w:t>, (Приложение №5</w:t>
            </w:r>
            <w:r>
              <w:rPr>
                <w:rFonts w:eastAsia="Times New Roman" w:cs="Times New Roman"/>
                <w:kern w:val="0"/>
                <w:sz w:val="22"/>
                <w:szCs w:val="22"/>
                <w:lang w:val="ru-RU" w:eastAsia="ru-RU" w:bidi="ar-SA"/>
              </w:rPr>
              <w:t xml:space="preserve"> </w:t>
            </w:r>
            <w:r>
              <w:rPr>
                <w:rFonts w:eastAsia="Times New Roman" w:cs="Times New Roman"/>
                <w:iCs/>
                <w:kern w:val="0"/>
                <w:sz w:val="24"/>
                <w:szCs w:val="24"/>
                <w:lang w:val="ru-RU" w:eastAsia="ru-RU" w:bidi="ar-SA"/>
              </w:rPr>
              <w:t>к настоящим Техническим требованиям).</w:t>
            </w:r>
          </w:p>
        </w:tc>
        <w:tc>
          <w:tcPr>
            <w:tcW w:w="2658" w:type="dxa"/>
            <w:vMerge w:val="continue"/>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r>
          </w:p>
        </w:tc>
        <w:tc>
          <w:tcPr>
            <w:tcW w:w="2875" w:type="dxa"/>
            <w:vMerge w:val="continue"/>
            <w:tcBorders/>
          </w:tcPr>
          <w:p>
            <w:pPr>
              <w:pStyle w:val="Style27"/>
              <w:widowControl w:val="false"/>
              <w:numPr>
                <w:ilvl w:val="0"/>
                <w:numId w:val="0"/>
              </w:numPr>
              <w:suppressAutoHyphens w:val="true"/>
              <w:spacing w:before="0" w:after="60"/>
              <w:jc w:val="left"/>
              <w:outlineLvl w:val="2"/>
              <w:rPr>
                <w:rFonts w:eastAsia="Times New Roman"/>
                <w:b w:val="false"/>
                <w:lang w:val="ru-RU" w:eastAsia="ru-RU"/>
              </w:rPr>
            </w:pPr>
            <w:r>
              <w:rPr>
                <w:rFonts w:eastAsia="Times New Roman" w:cs="Times New Roman"/>
                <w:b w:val="false"/>
                <w:kern w:val="0"/>
                <w:sz w:val="20"/>
                <w:szCs w:val="20"/>
                <w:lang w:val="ru-RU" w:eastAsia="ru-RU" w:bidi="ar-SA"/>
              </w:rPr>
            </w:r>
          </w:p>
        </w:tc>
      </w:tr>
      <w:tr>
        <w:trPr>
          <w:trHeight w:val="56" w:hRule="atLeast"/>
        </w:trPr>
        <w:tc>
          <w:tcPr>
            <w:tcW w:w="858" w:type="dxa"/>
            <w:tcBorders/>
            <w:vAlign w:val="center"/>
          </w:tcPr>
          <w:p>
            <w:pPr>
              <w:pStyle w:val="ListParagraph"/>
              <w:widowControl w:val="false"/>
              <w:numPr>
                <w:ilvl w:val="2"/>
                <w:numId w:val="8"/>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723"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Разработка ППР</w:t>
            </w:r>
          </w:p>
        </w:tc>
        <w:tc>
          <w:tcPr>
            <w:tcW w:w="6023" w:type="dxa"/>
            <w:tcBorders/>
          </w:tcPr>
          <w:p>
            <w:pPr>
              <w:pStyle w:val="Normal"/>
              <w:widowControl w:val="false"/>
              <w:tabs>
                <w:tab w:val="clear" w:pos="708"/>
                <w:tab w:val="left" w:pos="426" w:leader="none"/>
              </w:tabs>
              <w:suppressAutoHyphens w:val="true"/>
              <w:spacing w:before="60" w:after="0"/>
              <w:ind w:firstLine="175"/>
              <w:jc w:val="both"/>
              <w:rPr>
                <w:iCs/>
                <w:sz w:val="24"/>
                <w:szCs w:val="24"/>
              </w:rPr>
            </w:pPr>
            <w:r>
              <w:rPr>
                <w:rFonts w:eastAsia="Times New Roman" w:cs="Times New Roman"/>
                <w:iCs/>
                <w:kern w:val="0"/>
                <w:sz w:val="24"/>
                <w:szCs w:val="24"/>
                <w:lang w:val="ru-RU" w:eastAsia="ru-RU" w:bidi="ar-SA"/>
              </w:rPr>
              <w:t>До начала выполнения строительно-монтажных работ необходимо разработать и согласовать с Генподрядчиком и Заказчиком Проект производства работ (ППР), который разрабатывается в соответствии с РД, СП 48.13330.2019. Свод правил. Организация строительства, СНиП 12-01-2004" (утв. и введен в действие Приказом Минстроя России от 24.12.2019 N 861/пр) и регламентом разработки ППР (Приложение №6 к настоящим ТТ);</w:t>
            </w:r>
          </w:p>
          <w:p>
            <w:pPr>
              <w:pStyle w:val="Normal"/>
              <w:widowControl w:val="false"/>
              <w:tabs>
                <w:tab w:val="clear" w:pos="708"/>
                <w:tab w:val="left" w:pos="426" w:leader="none"/>
              </w:tabs>
              <w:suppressAutoHyphens w:val="true"/>
              <w:spacing w:before="60" w:after="0"/>
              <w:ind w:firstLine="175"/>
              <w:jc w:val="both"/>
              <w:rPr>
                <w:iCs/>
                <w:sz w:val="24"/>
                <w:szCs w:val="24"/>
              </w:rPr>
            </w:pPr>
            <w:r>
              <w:rPr>
                <w:rFonts w:eastAsia="Times New Roman" w:cs="Times New Roman"/>
                <w:iCs/>
                <w:kern w:val="0"/>
                <w:sz w:val="24"/>
                <w:szCs w:val="24"/>
                <w:lang w:val="ru-RU" w:eastAsia="ru-RU" w:bidi="ar-SA"/>
              </w:rPr>
              <w:t>До начала выполнения строительно-монтажных работ разработать и согласовать с Генподрядчиком и Заказчиком план производства работ на высоте (ППРв) в соответствии с требованиями гл. III «Требования по обеспечению безопасности работ на высоте» Приказа Минтруда России от 16.11.2020 №782н «Об утверждении Правил по охране труда при работе на высоте».</w:t>
            </w:r>
          </w:p>
          <w:p>
            <w:pPr>
              <w:pStyle w:val="Normal"/>
              <w:widowControl w:val="false"/>
              <w:tabs>
                <w:tab w:val="clear" w:pos="708"/>
                <w:tab w:val="left" w:pos="426" w:leader="none"/>
              </w:tabs>
              <w:suppressAutoHyphens w:val="true"/>
              <w:spacing w:before="60" w:after="0"/>
              <w:ind w:firstLine="175"/>
              <w:jc w:val="both"/>
              <w:rPr>
                <w:iCs/>
                <w:sz w:val="24"/>
                <w:szCs w:val="24"/>
              </w:rPr>
            </w:pPr>
            <w:r>
              <w:rPr>
                <w:rFonts w:eastAsia="Times New Roman" w:cs="Times New Roman"/>
                <w:iCs/>
                <w:kern w:val="0"/>
                <w:sz w:val="24"/>
                <w:szCs w:val="24"/>
                <w:lang w:val="ru-RU" w:eastAsia="ru-RU" w:bidi="ar-SA"/>
              </w:rPr>
              <w:t>Без утвержденных ППР, ППРв Субподрядчик к работам не допускается.</w:t>
            </w:r>
          </w:p>
        </w:tc>
        <w:tc>
          <w:tcPr>
            <w:tcW w:w="2658" w:type="dxa"/>
            <w:vMerge w:val="continue"/>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r>
          </w:p>
        </w:tc>
        <w:tc>
          <w:tcPr>
            <w:tcW w:w="2875" w:type="dxa"/>
            <w:vMerge w:val="continue"/>
            <w:tcBorders/>
          </w:tcPr>
          <w:p>
            <w:pPr>
              <w:pStyle w:val="Style27"/>
              <w:widowControl w:val="false"/>
              <w:numPr>
                <w:ilvl w:val="0"/>
                <w:numId w:val="0"/>
              </w:numPr>
              <w:suppressAutoHyphens w:val="true"/>
              <w:spacing w:before="0" w:after="60"/>
              <w:jc w:val="left"/>
              <w:outlineLvl w:val="2"/>
              <w:rPr>
                <w:rFonts w:eastAsia="Times New Roman"/>
                <w:b w:val="false"/>
                <w:lang w:val="ru-RU" w:eastAsia="ru-RU"/>
              </w:rPr>
            </w:pPr>
            <w:r>
              <w:rPr>
                <w:rFonts w:eastAsia="Times New Roman" w:cs="Times New Roman"/>
                <w:b w:val="false"/>
                <w:kern w:val="0"/>
                <w:sz w:val="20"/>
                <w:szCs w:val="20"/>
                <w:lang w:val="ru-RU" w:eastAsia="ru-RU" w:bidi="ar-SA"/>
              </w:rPr>
            </w:r>
          </w:p>
        </w:tc>
      </w:tr>
      <w:tr>
        <w:trPr/>
        <w:tc>
          <w:tcPr>
            <w:tcW w:w="858" w:type="dxa"/>
            <w:tcBorders/>
            <w:vAlign w:val="center"/>
          </w:tcPr>
          <w:p>
            <w:pPr>
              <w:pStyle w:val="ListParagraph"/>
              <w:widowControl w:val="false"/>
              <w:numPr>
                <w:ilvl w:val="1"/>
                <w:numId w:val="8"/>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746" w:type="dxa"/>
            <w:gridSpan w:val="2"/>
            <w:tcBorders/>
            <w:vAlign w:val="center"/>
          </w:tcPr>
          <w:p>
            <w:pPr>
              <w:pStyle w:val="Normal"/>
              <w:widowControl w:val="false"/>
              <w:suppressAutoHyphens w:val="true"/>
              <w:spacing w:before="60" w:after="0"/>
              <w:jc w:val="left"/>
              <w:rPr>
                <w:b/>
                <w:sz w:val="24"/>
                <w:szCs w:val="24"/>
              </w:rPr>
            </w:pPr>
            <w:r>
              <w:rPr>
                <w:rFonts w:eastAsia="Times New Roman" w:cs="Times New Roman"/>
                <w:b/>
                <w:kern w:val="0"/>
                <w:sz w:val="24"/>
                <w:szCs w:val="24"/>
                <w:lang w:val="ru-RU" w:eastAsia="ru-RU" w:bidi="ar-SA"/>
              </w:rPr>
              <w:t>Требования к применяемым при выполнении работ оборудованию, материалам, технологиям, программно-аппаратным средствам</w:t>
            </w:r>
          </w:p>
        </w:tc>
        <w:tc>
          <w:tcPr>
            <w:tcW w:w="2658" w:type="dxa"/>
            <w:vMerge w:val="continue"/>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r>
          </w:p>
        </w:tc>
        <w:tc>
          <w:tcPr>
            <w:tcW w:w="2875" w:type="dxa"/>
            <w:vMerge w:val="continue"/>
            <w:tcBorders/>
          </w:tcPr>
          <w:p>
            <w:pPr>
              <w:pStyle w:val="Style27"/>
              <w:widowControl w:val="false"/>
              <w:numPr>
                <w:ilvl w:val="0"/>
                <w:numId w:val="0"/>
              </w:numPr>
              <w:suppressAutoHyphens w:val="true"/>
              <w:spacing w:before="0" w:after="60"/>
              <w:jc w:val="left"/>
              <w:outlineLvl w:val="2"/>
              <w:rPr>
                <w:b w:val="false"/>
              </w:rPr>
            </w:pPr>
            <w:r>
              <w:rPr>
                <w:rFonts w:eastAsia="Times New Roman" w:cs="Times New Roman"/>
                <w:b w:val="false"/>
                <w:kern w:val="0"/>
                <w:sz w:val="20"/>
                <w:szCs w:val="20"/>
                <w:lang w:val="ru-RU" w:eastAsia="ru-RU" w:bidi="ar-SA"/>
              </w:rPr>
            </w:r>
          </w:p>
        </w:tc>
      </w:tr>
      <w:tr>
        <w:trPr/>
        <w:tc>
          <w:tcPr>
            <w:tcW w:w="858" w:type="dxa"/>
            <w:tcBorders/>
            <w:vAlign w:val="center"/>
          </w:tcPr>
          <w:p>
            <w:pPr>
              <w:pStyle w:val="ListParagraph"/>
              <w:widowControl w:val="false"/>
              <w:numPr>
                <w:ilvl w:val="2"/>
                <w:numId w:val="8"/>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723"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Требования к номенклатуре, характеристикам оборудования и материалам, которые должны быть использованы при проведении работ</w:t>
            </w:r>
          </w:p>
        </w:tc>
        <w:tc>
          <w:tcPr>
            <w:tcW w:w="6023" w:type="dxa"/>
            <w:tcBorders/>
          </w:tcPr>
          <w:p>
            <w:pPr>
              <w:pStyle w:val="Normal"/>
              <w:widowControl w:val="false"/>
              <w:suppressAutoHyphens w:val="true"/>
              <w:spacing w:before="0" w:after="0"/>
              <w:ind w:firstLine="175"/>
              <w:jc w:val="both"/>
              <w:rPr>
                <w:iCs/>
                <w:sz w:val="24"/>
                <w:szCs w:val="24"/>
              </w:rPr>
            </w:pPr>
            <w:r>
              <w:rPr>
                <w:rFonts w:eastAsia="Times New Roman" w:cs="Times New Roman"/>
                <w:iCs/>
                <w:kern w:val="0"/>
                <w:sz w:val="24"/>
                <w:szCs w:val="24"/>
                <w:lang w:val="ru-RU" w:eastAsia="ru-RU" w:bidi="ar-SA"/>
              </w:rPr>
              <w:t>Генподрядчик передает Субподрядчику давальческое оборудование в монтаж согласно спецификации (Приложение №2</w:t>
            </w:r>
            <w:r>
              <w:rPr>
                <w:rFonts w:eastAsia="Times New Roman" w:cs="Times New Roman"/>
                <w:kern w:val="0"/>
                <w:sz w:val="24"/>
                <w:szCs w:val="24"/>
                <w:lang w:val="ru-RU" w:eastAsia="ru-RU" w:bidi="ar-SA"/>
              </w:rPr>
              <w:t xml:space="preserve"> </w:t>
            </w:r>
            <w:r>
              <w:rPr>
                <w:rFonts w:eastAsia="Times New Roman" w:cs="Times New Roman"/>
                <w:iCs/>
                <w:kern w:val="0"/>
                <w:sz w:val="24"/>
                <w:szCs w:val="24"/>
                <w:lang w:val="ru-RU" w:eastAsia="ru-RU" w:bidi="ar-SA"/>
              </w:rPr>
              <w:t>к настоящим Техническим требованиям).</w:t>
            </w:r>
          </w:p>
          <w:p>
            <w:pPr>
              <w:pStyle w:val="Normal"/>
              <w:widowControl w:val="false"/>
              <w:suppressAutoHyphens w:val="true"/>
              <w:spacing w:before="0" w:after="0"/>
              <w:ind w:firstLine="175"/>
              <w:jc w:val="both"/>
              <w:rPr>
                <w:iCs/>
                <w:sz w:val="24"/>
                <w:szCs w:val="24"/>
              </w:rPr>
            </w:pPr>
            <w:r>
              <w:rPr>
                <w:rFonts w:eastAsia="Times New Roman" w:cs="Times New Roman"/>
                <w:iCs/>
                <w:kern w:val="0"/>
                <w:sz w:val="24"/>
                <w:szCs w:val="24"/>
                <w:lang w:val="ru-RU" w:eastAsia="ru-RU" w:bidi="ar-SA"/>
              </w:rPr>
              <w:t>Оставшаяся часть оборудования и материалов, необходимых для выполнения работ, приобретаются Субподрядчиком самостоятельно согласно ведомостям объемов работ (Приложение №1</w:t>
            </w:r>
            <w:r>
              <w:rPr>
                <w:rFonts w:eastAsia="Times New Roman" w:cs="Times New Roman"/>
                <w:kern w:val="0"/>
                <w:sz w:val="24"/>
                <w:szCs w:val="24"/>
                <w:lang w:val="ru-RU" w:eastAsia="ru-RU" w:bidi="ar-SA"/>
              </w:rPr>
              <w:t xml:space="preserve"> </w:t>
            </w:r>
            <w:r>
              <w:rPr>
                <w:rFonts w:eastAsia="Times New Roman" w:cs="Times New Roman"/>
                <w:iCs/>
                <w:kern w:val="0"/>
                <w:sz w:val="24"/>
                <w:szCs w:val="24"/>
                <w:lang w:val="ru-RU" w:eastAsia="ru-RU" w:bidi="ar-SA"/>
              </w:rPr>
              <w:t>к настоящим Техническим требованиям) с учетом спецификаций соответствующих разделов РД</w:t>
            </w:r>
            <w:r>
              <w:rPr>
                <w:rFonts w:eastAsia="Times New Roman" w:cs="Times New Roman"/>
                <w:kern w:val="0"/>
                <w:sz w:val="24"/>
                <w:szCs w:val="24"/>
                <w:lang w:val="ru-RU" w:eastAsia="ru-RU" w:bidi="ar-SA"/>
              </w:rPr>
              <w:t xml:space="preserve">, </w:t>
            </w:r>
            <w:r>
              <w:rPr>
                <w:rFonts w:eastAsia="Times New Roman" w:cs="Times New Roman"/>
                <w:iCs/>
                <w:kern w:val="0"/>
                <w:sz w:val="24"/>
                <w:szCs w:val="24"/>
                <w:lang w:val="ru-RU" w:eastAsia="ru-RU" w:bidi="ar-SA"/>
              </w:rPr>
              <w:t>в которых указаны подробные технические характеристики.</w:t>
            </w:r>
          </w:p>
          <w:p>
            <w:pPr>
              <w:pStyle w:val="Normal"/>
              <w:widowControl w:val="false"/>
              <w:suppressAutoHyphens w:val="true"/>
              <w:spacing w:before="0" w:after="0"/>
              <w:ind w:firstLine="175"/>
              <w:jc w:val="both"/>
              <w:rPr>
                <w:iCs/>
                <w:sz w:val="24"/>
                <w:szCs w:val="24"/>
              </w:rPr>
            </w:pPr>
            <w:r>
              <w:rPr>
                <w:rFonts w:eastAsia="Times New Roman" w:cs="Times New Roman"/>
                <w:iCs/>
                <w:kern w:val="0"/>
                <w:sz w:val="24"/>
                <w:szCs w:val="24"/>
                <w:lang w:val="ru-RU" w:eastAsia="ru-RU" w:bidi="ar-SA"/>
              </w:rPr>
              <w:t>Все поставляемые и применяемые материалы, оборудование должны быть новыми, сертифицированными, не использованными ранее.</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Поставляемое оборудование должно соответствовать марке, типу, обозначениям, техническим характеристикам, указанным в разработанной РД. На поставляемое оборудование Субподрядчик обязан передать Генподрядчику сертификат качества, технический паспорт на русском языке, инструкцию по эксплуатации на русском языке, упаковочный лист, 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в зависимости от номенклатуры поставляемого оборудования.</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r>
          </w:p>
          <w:p>
            <w:pPr>
              <w:pStyle w:val="BodyText"/>
              <w:widowControl w:val="false"/>
              <w:suppressAutoHyphens w:val="true"/>
              <w:spacing w:before="0" w:after="120"/>
              <w:ind w:firstLine="175"/>
              <w:jc w:val="both"/>
              <w:rPr>
                <w:rFonts w:ascii="Calibri" w:hAnsi="Calibri" w:asciiTheme="minorHAnsi" w:hAnsiTheme="minorHAnsi"/>
                <w:color w:val="000000"/>
                <w:sz w:val="24"/>
              </w:rPr>
            </w:pPr>
            <w:r>
              <w:rPr>
                <w:rFonts w:eastAsia="Times New Roman" w:cs="Times New Roman" w:ascii="Times New Roman;serif" w:hAnsi="Times New Roman;serif"/>
                <w:color w:val="000000"/>
                <w:kern w:val="0"/>
                <w:sz w:val="24"/>
                <w:lang w:val="ru-RU" w:eastAsia="ru-RU" w:bidi="ar-SA"/>
              </w:rPr>
              <w:t>В случае использования в описании характеристик предмета закупки указания на товарный знак и иные ограничивающие факторы, допускается поставка и применение эквивалентного оборудования и комплектующих с техническими характеристиками, которые по своим характеристикам/параметрам должны быть равными или лучше требований РД (требования РД к оборудованию/материалам приведены в рабочей документации</w:t>
            </w:r>
            <w:r>
              <w:rPr>
                <w:rFonts w:eastAsia="Times New Roman" w:cs="Times New Roman" w:ascii="Calibri" w:hAnsi="Calibri" w:asciiTheme="minorHAnsi" w:hAnsiTheme="minorHAnsi"/>
                <w:color w:val="000000"/>
                <w:kern w:val="0"/>
                <w:sz w:val="24"/>
                <w:lang w:val="ru-RU" w:eastAsia="ru-RU" w:bidi="ar-SA"/>
              </w:rPr>
              <w:t>).</w:t>
            </w:r>
          </w:p>
          <w:p>
            <w:pPr>
              <w:pStyle w:val="BodyText"/>
              <w:widowControl w:val="false"/>
              <w:suppressAutoHyphens w:val="true"/>
              <w:spacing w:before="0" w:after="120"/>
              <w:ind w:firstLine="175"/>
              <w:jc w:val="both"/>
              <w:rPr>
                <w:rFonts w:ascii="Times New Roman;serif" w:hAnsi="Times New Roman;serif"/>
                <w:color w:val="000000"/>
                <w:sz w:val="24"/>
              </w:rPr>
            </w:pPr>
            <w:r>
              <w:rPr>
                <w:rFonts w:eastAsia="Times New Roman" w:cs="Times New Roman" w:ascii="Times New Roman;serif" w:hAnsi="Times New Roman;serif"/>
                <w:color w:val="000000"/>
                <w:kern w:val="0"/>
                <w:sz w:val="24"/>
                <w:lang w:val="ru-RU" w:eastAsia="ru-RU" w:bidi="ar-SA"/>
              </w:rPr>
              <w:t>Предложения по применению оборудования/материалов эквивалентов могут быть предоставлены Субподрядчиком в адрес Генподрядчика и Заказчика, в течение 5 рабочих дней с даты выдачи «в производство работ» разработанной рабочей документации.</w:t>
            </w:r>
          </w:p>
          <w:p>
            <w:pPr>
              <w:pStyle w:val="BodyText"/>
              <w:widowControl w:val="false"/>
              <w:suppressAutoHyphens w:val="true"/>
              <w:spacing w:before="0" w:after="120"/>
              <w:ind w:firstLine="175"/>
              <w:jc w:val="both"/>
              <w:rPr>
                <w:rFonts w:ascii="Times New Roman;serif" w:hAnsi="Times New Roman;serif"/>
                <w:color w:val="000000"/>
                <w:sz w:val="24"/>
              </w:rPr>
            </w:pPr>
            <w:r>
              <w:rPr>
                <w:rFonts w:eastAsia="Times New Roman" w:cs="Times New Roman" w:ascii="Times New Roman;serif" w:hAnsi="Times New Roman;serif"/>
                <w:color w:val="000000"/>
                <w:kern w:val="0"/>
                <w:sz w:val="24"/>
                <w:lang w:val="ru-RU" w:eastAsia="ru-RU" w:bidi="ar-SA"/>
              </w:rPr>
              <w:t>Применение эквивалентных материалов/оборудования допустимо Субподрядчиком только при согласовании с Генподрядчиком и Заказчиком и проведении в случае необходимости лабораторных исследований по данным материалам/оборудованию, которые проводятся за счет Субподрядчика, без увеличения сметной стоимости.</w:t>
            </w:r>
          </w:p>
          <w:p>
            <w:pPr>
              <w:pStyle w:val="BodyText"/>
              <w:widowControl w:val="false"/>
              <w:suppressAutoHyphens w:val="true"/>
              <w:spacing w:before="0" w:after="120"/>
              <w:ind w:firstLine="175"/>
              <w:jc w:val="both"/>
              <w:rPr>
                <w:rFonts w:ascii="Times New Roman;serif" w:hAnsi="Times New Roman;serif"/>
                <w:color w:val="000000"/>
              </w:rPr>
            </w:pPr>
            <w:r>
              <w:rPr>
                <w:rFonts w:eastAsia="Times New Roman" w:cs="Times New Roman" w:ascii="Times New Roman;serif" w:hAnsi="Times New Roman;serif"/>
                <w:color w:val="000000"/>
                <w:kern w:val="0"/>
                <w:sz w:val="24"/>
                <w:szCs w:val="24"/>
                <w:lang w:val="ru-RU" w:eastAsia="ru-RU" w:bidi="ar-SA"/>
              </w:rPr>
              <w:t>В случае, если применение Субподрядчиком эквивалентных материалов/оборудования будет согласовано Генподрядчиком и Заказчиком и потребует внесения изменений в рабочую документацию, такие изменения также производятся за счет Субподрядчика.</w:t>
            </w:r>
          </w:p>
        </w:tc>
        <w:tc>
          <w:tcPr>
            <w:tcW w:w="2658" w:type="dxa"/>
            <w:vMerge w:val="continue"/>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r>
          </w:p>
        </w:tc>
        <w:tc>
          <w:tcPr>
            <w:tcW w:w="2875" w:type="dxa"/>
            <w:vMerge w:val="continue"/>
            <w:tcBorders/>
          </w:tcPr>
          <w:p>
            <w:pPr>
              <w:pStyle w:val="Style27"/>
              <w:widowControl w:val="false"/>
              <w:numPr>
                <w:ilvl w:val="0"/>
                <w:numId w:val="0"/>
              </w:numPr>
              <w:suppressAutoHyphens w:val="true"/>
              <w:spacing w:before="0" w:after="60"/>
              <w:jc w:val="left"/>
              <w:outlineLvl w:val="2"/>
              <w:rPr>
                <w:rFonts w:eastAsia="Times New Roman"/>
                <w:b w:val="false"/>
                <w:lang w:val="ru-RU" w:eastAsia="ru-RU"/>
              </w:rPr>
            </w:pPr>
            <w:r>
              <w:rPr>
                <w:rFonts w:eastAsia="Times New Roman" w:cs="Times New Roman"/>
                <w:b w:val="false"/>
                <w:kern w:val="0"/>
                <w:sz w:val="20"/>
                <w:szCs w:val="20"/>
                <w:lang w:val="ru-RU" w:eastAsia="ru-RU" w:bidi="ar-SA"/>
              </w:rPr>
            </w:r>
          </w:p>
        </w:tc>
      </w:tr>
      <w:tr>
        <w:trPr/>
        <w:tc>
          <w:tcPr>
            <w:tcW w:w="858" w:type="dxa"/>
            <w:tcBorders/>
            <w:vAlign w:val="center"/>
          </w:tcPr>
          <w:p>
            <w:pPr>
              <w:pStyle w:val="ListParagraph"/>
              <w:widowControl w:val="false"/>
              <w:numPr>
                <w:ilvl w:val="1"/>
                <w:numId w:val="8"/>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746" w:type="dxa"/>
            <w:gridSpan w:val="2"/>
            <w:tcBorders/>
            <w:vAlign w:val="center"/>
          </w:tcPr>
          <w:p>
            <w:pPr>
              <w:pStyle w:val="Normal"/>
              <w:widowControl w:val="false"/>
              <w:tabs>
                <w:tab w:val="clear" w:pos="708"/>
                <w:tab w:val="left" w:pos="426" w:leader="none"/>
              </w:tabs>
              <w:suppressAutoHyphens w:val="true"/>
              <w:spacing w:before="0" w:after="0"/>
              <w:jc w:val="both"/>
              <w:rPr>
                <w:b/>
                <w:sz w:val="24"/>
                <w:szCs w:val="24"/>
              </w:rPr>
            </w:pPr>
            <w:r>
              <w:rPr>
                <w:rFonts w:eastAsia="Times New Roman" w:cs="Times New Roman"/>
                <w:b/>
                <w:kern w:val="0"/>
                <w:sz w:val="24"/>
                <w:szCs w:val="24"/>
                <w:lang w:val="ru-RU" w:eastAsia="ru-RU" w:bidi="ar-SA"/>
              </w:rPr>
              <w:t>Требования к контролю качества работ и материалов</w:t>
            </w:r>
          </w:p>
        </w:tc>
        <w:tc>
          <w:tcPr>
            <w:tcW w:w="2658" w:type="dxa"/>
            <w:vMerge w:val="continue"/>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r>
          </w:p>
        </w:tc>
        <w:tc>
          <w:tcPr>
            <w:tcW w:w="2875" w:type="dxa"/>
            <w:vMerge w:val="continue"/>
            <w:tcBorders/>
          </w:tcPr>
          <w:p>
            <w:pPr>
              <w:pStyle w:val="Style27"/>
              <w:widowControl w:val="false"/>
              <w:numPr>
                <w:ilvl w:val="0"/>
                <w:numId w:val="0"/>
              </w:numPr>
              <w:suppressAutoHyphens w:val="true"/>
              <w:spacing w:before="0" w:after="60"/>
              <w:jc w:val="left"/>
              <w:outlineLvl w:val="2"/>
              <w:rPr>
                <w:b w:val="false"/>
              </w:rPr>
            </w:pPr>
            <w:r>
              <w:rPr>
                <w:rFonts w:eastAsia="Times New Roman" w:cs="Times New Roman"/>
                <w:b w:val="false"/>
                <w:kern w:val="0"/>
                <w:sz w:val="20"/>
                <w:szCs w:val="20"/>
                <w:lang w:val="ru-RU" w:eastAsia="ru-RU" w:bidi="ar-SA"/>
              </w:rPr>
            </w:r>
          </w:p>
        </w:tc>
      </w:tr>
      <w:tr>
        <w:trPr/>
        <w:tc>
          <w:tcPr>
            <w:tcW w:w="858" w:type="dxa"/>
            <w:tcBorders/>
            <w:vAlign w:val="center"/>
          </w:tcPr>
          <w:p>
            <w:pPr>
              <w:pStyle w:val="ListParagraph"/>
              <w:widowControl w:val="false"/>
              <w:numPr>
                <w:ilvl w:val="2"/>
                <w:numId w:val="8"/>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723"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Контроль качества используемых материалов</w:t>
            </w:r>
          </w:p>
        </w:tc>
        <w:tc>
          <w:tcPr>
            <w:tcW w:w="6023" w:type="dxa"/>
            <w:tcBorders/>
          </w:tcPr>
          <w:p>
            <w:pPr>
              <w:pStyle w:val="Normal"/>
              <w:widowControl w:val="false"/>
              <w:suppressAutoHyphens w:val="true"/>
              <w:spacing w:before="0" w:after="60"/>
              <w:ind w:firstLine="175"/>
              <w:jc w:val="both"/>
              <w:rPr>
                <w:bCs/>
                <w:iCs/>
                <w:sz w:val="24"/>
                <w:szCs w:val="24"/>
              </w:rPr>
            </w:pPr>
            <w:r>
              <w:rPr>
                <w:rFonts w:eastAsia="Times New Roman" w:cs="Times New Roman"/>
                <w:bCs/>
                <w:iCs/>
                <w:kern w:val="0"/>
                <w:sz w:val="24"/>
                <w:szCs w:val="24"/>
                <w:lang w:val="ru-RU" w:eastAsia="ru-RU" w:bidi="ar-SA"/>
              </w:rPr>
              <w:t>Субподрядчик должен обеспечить контроль поступающих материалов, включающий в себя проверку:</w:t>
            </w:r>
          </w:p>
          <w:p>
            <w:pPr>
              <w:pStyle w:val="Normal"/>
              <w:widowControl w:val="false"/>
              <w:suppressAutoHyphens w:val="true"/>
              <w:spacing w:before="0" w:after="60"/>
              <w:ind w:firstLine="175"/>
              <w:jc w:val="both"/>
              <w:rPr>
                <w:bCs/>
                <w:iCs/>
                <w:sz w:val="24"/>
                <w:szCs w:val="24"/>
              </w:rPr>
            </w:pPr>
            <w:r>
              <w:rPr>
                <w:rFonts w:eastAsia="Times New Roman" w:cs="Times New Roman"/>
                <w:bCs/>
                <w:iCs/>
                <w:kern w:val="0"/>
                <w:sz w:val="24"/>
                <w:szCs w:val="24"/>
                <w:lang w:val="ru-RU" w:eastAsia="ru-RU" w:bidi="ar-SA"/>
              </w:rPr>
              <w:t>- наличия соответствующих сертификатов и деклараций в соответствии с требованиями Постановления Правительства РФ от 23.12.2021 № 2425;</w:t>
            </w:r>
          </w:p>
          <w:p>
            <w:pPr>
              <w:pStyle w:val="Normal"/>
              <w:widowControl w:val="false"/>
              <w:suppressAutoHyphens w:val="true"/>
              <w:spacing w:before="0" w:after="60"/>
              <w:ind w:left="1" w:firstLine="175"/>
              <w:jc w:val="both"/>
              <w:rPr>
                <w:bCs/>
                <w:iCs/>
                <w:sz w:val="24"/>
                <w:szCs w:val="24"/>
              </w:rPr>
            </w:pPr>
            <w:r>
              <w:rPr>
                <w:rFonts w:eastAsia="Times New Roman" w:cs="Times New Roman"/>
                <w:bCs/>
                <w:iCs/>
                <w:kern w:val="0"/>
                <w:sz w:val="24"/>
                <w:szCs w:val="24"/>
                <w:lang w:val="ru-RU" w:eastAsia="ru-RU" w:bidi="ar-SA"/>
              </w:rPr>
              <w:t>- наличия и надлежащего заполнения документа о качестве и соответствии приведенных в нем данных характеристикам, установленным в нормативном документе, регламентирующем технические требования к данной продукции;</w:t>
            </w:r>
          </w:p>
          <w:p>
            <w:pPr>
              <w:pStyle w:val="Normal"/>
              <w:widowControl w:val="false"/>
              <w:suppressAutoHyphens w:val="true"/>
              <w:spacing w:before="0" w:after="60"/>
              <w:ind w:firstLine="175"/>
              <w:jc w:val="both"/>
              <w:rPr>
                <w:bCs/>
                <w:iCs/>
                <w:sz w:val="24"/>
                <w:szCs w:val="24"/>
              </w:rPr>
            </w:pPr>
            <w:r>
              <w:rPr>
                <w:rFonts w:eastAsia="Times New Roman" w:cs="Times New Roman"/>
                <w:bCs/>
                <w:iCs/>
                <w:kern w:val="0"/>
                <w:sz w:val="24"/>
                <w:szCs w:val="24"/>
                <w:lang w:val="ru-RU" w:eastAsia="ru-RU" w:bidi="ar-SA"/>
              </w:rPr>
              <w:t>- наличия маркировки, сохранности упаковки, наличия и сохранности защитных и окрасочных покрытий;</w:t>
            </w:r>
          </w:p>
          <w:p>
            <w:pPr>
              <w:pStyle w:val="Normal"/>
              <w:widowControl w:val="false"/>
              <w:suppressAutoHyphens w:val="true"/>
              <w:spacing w:before="0" w:after="60"/>
              <w:ind w:firstLine="175"/>
              <w:jc w:val="both"/>
              <w:rPr>
                <w:b/>
                <w:bCs/>
                <w:sz w:val="24"/>
                <w:szCs w:val="24"/>
              </w:rPr>
            </w:pPr>
            <w:r>
              <w:rPr>
                <w:rFonts w:eastAsia="Times New Roman" w:cs="Times New Roman"/>
                <w:bCs/>
                <w:iCs/>
                <w:kern w:val="0"/>
                <w:sz w:val="24"/>
                <w:szCs w:val="24"/>
                <w:lang w:val="en-US" w:eastAsia="ru-RU" w:bidi="ar-SA"/>
              </w:rPr>
              <w:t xml:space="preserve">- </w:t>
            </w:r>
            <w:r>
              <w:rPr>
                <w:rFonts w:eastAsia="Times New Roman" w:cs="Times New Roman"/>
                <w:bCs/>
                <w:iCs/>
                <w:kern w:val="0"/>
                <w:sz w:val="24"/>
                <w:szCs w:val="24"/>
                <w:lang w:val="ru-RU" w:eastAsia="ru-RU" w:bidi="ar-SA"/>
              </w:rPr>
              <w:t>комплектности поставляемых материалов.</w:t>
            </w:r>
          </w:p>
        </w:tc>
        <w:tc>
          <w:tcPr>
            <w:tcW w:w="2658" w:type="dxa"/>
            <w:vMerge w:val="continue"/>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r>
          </w:p>
        </w:tc>
        <w:tc>
          <w:tcPr>
            <w:tcW w:w="2875" w:type="dxa"/>
            <w:vMerge w:val="continue"/>
            <w:tcBorders/>
          </w:tcPr>
          <w:p>
            <w:pPr>
              <w:pStyle w:val="Style27"/>
              <w:keepNext w:val="false"/>
              <w:widowControl w:val="false"/>
              <w:numPr>
                <w:ilvl w:val="0"/>
                <w:numId w:val="0"/>
              </w:numPr>
              <w:suppressAutoHyphens w:val="true"/>
              <w:spacing w:before="0" w:after="60"/>
              <w:jc w:val="left"/>
              <w:outlineLvl w:val="2"/>
              <w:rPr>
                <w:rFonts w:eastAsia="Times New Roman"/>
                <w:b w:val="false"/>
                <w:bCs/>
                <w:lang w:val="ru-RU" w:eastAsia="ru-RU"/>
              </w:rPr>
            </w:pPr>
            <w:r>
              <w:rPr>
                <w:rFonts w:eastAsia="Times New Roman" w:cs="Times New Roman"/>
                <w:b w:val="false"/>
                <w:bCs/>
                <w:kern w:val="0"/>
                <w:sz w:val="20"/>
                <w:szCs w:val="20"/>
                <w:lang w:val="ru-RU" w:eastAsia="ru-RU" w:bidi="ar-SA"/>
              </w:rPr>
            </w:r>
          </w:p>
        </w:tc>
      </w:tr>
      <w:tr>
        <w:trPr/>
        <w:tc>
          <w:tcPr>
            <w:tcW w:w="858" w:type="dxa"/>
            <w:tcBorders/>
            <w:vAlign w:val="center"/>
          </w:tcPr>
          <w:p>
            <w:pPr>
              <w:pStyle w:val="ListParagraph"/>
              <w:widowControl w:val="false"/>
              <w:numPr>
                <w:ilvl w:val="2"/>
                <w:numId w:val="8"/>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723"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Наличие сертификатов соответствия ГОСТ на используемые изделия и материалы</w:t>
            </w:r>
          </w:p>
        </w:tc>
        <w:tc>
          <w:tcPr>
            <w:tcW w:w="6023" w:type="dxa"/>
            <w:tcBorders/>
          </w:tcPr>
          <w:p>
            <w:pPr>
              <w:pStyle w:val="Normal"/>
              <w:widowControl w:val="false"/>
              <w:suppressAutoHyphens w:val="true"/>
              <w:spacing w:before="0" w:after="60"/>
              <w:ind w:firstLine="175"/>
              <w:jc w:val="both"/>
              <w:rPr>
                <w:bCs/>
                <w:iCs/>
                <w:sz w:val="24"/>
                <w:szCs w:val="24"/>
              </w:rPr>
            </w:pPr>
            <w:r>
              <w:rPr>
                <w:rFonts w:eastAsia="Times New Roman" w:cs="Times New Roman"/>
                <w:bCs/>
                <w:iCs/>
                <w:kern w:val="0"/>
                <w:sz w:val="24"/>
                <w:szCs w:val="24"/>
                <w:lang w:val="ru-RU" w:eastAsia="ru-RU" w:bidi="ar-SA"/>
              </w:rPr>
              <w:t>На все поставляемое оборудование и материалы, покупные изделия должны быть предоставлены Заказчику в составе комплекта исполнительной документации:</w:t>
            </w:r>
          </w:p>
          <w:p>
            <w:pPr>
              <w:pStyle w:val="Normal"/>
              <w:widowControl w:val="false"/>
              <w:suppressAutoHyphens w:val="true"/>
              <w:spacing w:before="0" w:after="60"/>
              <w:ind w:firstLine="175"/>
              <w:jc w:val="both"/>
              <w:rPr>
                <w:bCs/>
                <w:iCs/>
                <w:sz w:val="24"/>
                <w:szCs w:val="24"/>
              </w:rPr>
            </w:pPr>
            <w:r>
              <w:rPr>
                <w:rFonts w:eastAsia="Times New Roman" w:cs="Times New Roman"/>
                <w:bCs/>
                <w:iCs/>
                <w:kern w:val="0"/>
                <w:sz w:val="24"/>
                <w:szCs w:val="24"/>
                <w:lang w:val="ru-RU" w:eastAsia="ru-RU" w:bidi="ar-SA"/>
              </w:rPr>
              <w:t>- технические паспорта;</w:t>
            </w:r>
          </w:p>
          <w:p>
            <w:pPr>
              <w:pStyle w:val="Normal"/>
              <w:widowControl w:val="false"/>
              <w:suppressAutoHyphens w:val="true"/>
              <w:spacing w:before="0" w:after="60"/>
              <w:ind w:firstLine="175"/>
              <w:jc w:val="both"/>
              <w:rPr>
                <w:bCs/>
                <w:iCs/>
                <w:sz w:val="24"/>
                <w:szCs w:val="24"/>
              </w:rPr>
            </w:pPr>
            <w:r>
              <w:rPr>
                <w:rFonts w:eastAsia="Times New Roman" w:cs="Times New Roman"/>
                <w:bCs/>
                <w:iCs/>
                <w:kern w:val="0"/>
                <w:sz w:val="24"/>
                <w:szCs w:val="24"/>
                <w:lang w:val="ru-RU" w:eastAsia="ru-RU" w:bidi="ar-SA"/>
              </w:rPr>
              <w:t>- сертификаты качества или другие документы, удостоверяющие качество;</w:t>
            </w:r>
          </w:p>
          <w:p>
            <w:pPr>
              <w:pStyle w:val="Normal"/>
              <w:widowControl w:val="false"/>
              <w:suppressAutoHyphens w:val="true"/>
              <w:spacing w:before="0" w:after="60"/>
              <w:ind w:firstLine="175"/>
              <w:jc w:val="both"/>
              <w:rPr>
                <w:bCs/>
                <w:iCs/>
                <w:sz w:val="24"/>
                <w:szCs w:val="24"/>
              </w:rPr>
            </w:pPr>
            <w:r>
              <w:rPr>
                <w:rFonts w:eastAsia="Times New Roman" w:cs="Times New Roman"/>
                <w:bCs/>
                <w:iCs/>
                <w:kern w:val="0"/>
                <w:sz w:val="24"/>
                <w:szCs w:val="24"/>
                <w:lang w:val="ru-RU" w:eastAsia="ru-RU" w:bidi="ar-SA"/>
              </w:rPr>
              <w:t>- протоколы входного контроля.</w:t>
            </w:r>
          </w:p>
        </w:tc>
        <w:tc>
          <w:tcPr>
            <w:tcW w:w="2658" w:type="dxa"/>
            <w:vMerge w:val="continue"/>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r>
          </w:p>
        </w:tc>
        <w:tc>
          <w:tcPr>
            <w:tcW w:w="2875" w:type="dxa"/>
            <w:vMerge w:val="continue"/>
            <w:tcBorders/>
          </w:tcPr>
          <w:p>
            <w:pPr>
              <w:pStyle w:val="Style27"/>
              <w:keepNext w:val="false"/>
              <w:widowControl w:val="false"/>
              <w:numPr>
                <w:ilvl w:val="0"/>
                <w:numId w:val="0"/>
              </w:numPr>
              <w:suppressAutoHyphens w:val="true"/>
              <w:spacing w:before="0" w:after="60"/>
              <w:jc w:val="left"/>
              <w:outlineLvl w:val="2"/>
              <w:rPr>
                <w:rFonts w:eastAsia="Times New Roman"/>
                <w:b w:val="false"/>
                <w:bCs/>
                <w:lang w:val="ru-RU" w:eastAsia="ru-RU"/>
              </w:rPr>
            </w:pPr>
            <w:r>
              <w:rPr>
                <w:rFonts w:eastAsia="Times New Roman" w:cs="Times New Roman"/>
                <w:b w:val="false"/>
                <w:bCs/>
                <w:kern w:val="0"/>
                <w:sz w:val="20"/>
                <w:szCs w:val="20"/>
                <w:lang w:val="ru-RU" w:eastAsia="ru-RU" w:bidi="ar-SA"/>
              </w:rPr>
            </w:r>
          </w:p>
        </w:tc>
      </w:tr>
      <w:tr>
        <w:trPr/>
        <w:tc>
          <w:tcPr>
            <w:tcW w:w="858" w:type="dxa"/>
            <w:tcBorders/>
            <w:vAlign w:val="center"/>
          </w:tcPr>
          <w:p>
            <w:pPr>
              <w:pStyle w:val="ListParagraph"/>
              <w:widowControl w:val="false"/>
              <w:numPr>
                <w:ilvl w:val="1"/>
                <w:numId w:val="8"/>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746" w:type="dxa"/>
            <w:gridSpan w:val="2"/>
            <w:tcBorders/>
          </w:tcPr>
          <w:p>
            <w:pPr>
              <w:pStyle w:val="Normal"/>
              <w:widowControl w:val="false"/>
              <w:suppressAutoHyphens w:val="true"/>
              <w:spacing w:before="0" w:after="0"/>
              <w:jc w:val="both"/>
              <w:rPr>
                <w:rFonts w:ascii="Times New Roman" w:hAnsi="Times New Roman" w:eastAsia="Times New Roman" w:cs="Times New Roman"/>
                <w:kern w:val="0"/>
                <w:lang w:eastAsia="ru-RU" w:bidi="ar-SA"/>
              </w:rPr>
            </w:pPr>
            <w:r>
              <w:rPr>
                <w:rFonts w:eastAsia="Times New Roman" w:cs="Times New Roman"/>
                <w:b/>
                <w:kern w:val="0"/>
                <w:sz w:val="24"/>
                <w:szCs w:val="24"/>
                <w:lang w:val="ru-RU" w:eastAsia="ru-RU" w:bidi="ar-SA"/>
              </w:rPr>
              <w:t xml:space="preserve">Требования к персоналу </w:t>
            </w:r>
            <w:r>
              <w:rPr>
                <w:rFonts w:eastAsia="Times New Roman" w:cs="Times New Roman"/>
                <w:b/>
                <w:kern w:val="0"/>
                <w:sz w:val="24"/>
                <w:szCs w:val="24"/>
                <w:lang w:val="en-US" w:eastAsia="ru-RU" w:bidi="ar-SA"/>
              </w:rPr>
              <w:t>Суб</w:t>
            </w:r>
            <w:r>
              <w:rPr>
                <w:rFonts w:eastAsia="Times New Roman" w:cs="Times New Roman"/>
                <w:b/>
                <w:kern w:val="0"/>
                <w:sz w:val="24"/>
                <w:szCs w:val="24"/>
                <w:lang w:val="ru-RU" w:eastAsia="ru-RU" w:bidi="ar-SA"/>
              </w:rPr>
              <w:t>подрядчика</w:t>
            </w:r>
          </w:p>
        </w:tc>
        <w:tc>
          <w:tcPr>
            <w:tcW w:w="2658" w:type="dxa"/>
            <w:vMerge w:val="continue"/>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r>
          </w:p>
        </w:tc>
        <w:tc>
          <w:tcPr>
            <w:tcW w:w="2875" w:type="dxa"/>
            <w:vMerge w:val="continue"/>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r>
          </w:p>
        </w:tc>
      </w:tr>
      <w:tr>
        <w:trPr/>
        <w:tc>
          <w:tcPr>
            <w:tcW w:w="858" w:type="dxa"/>
            <w:tcBorders/>
            <w:vAlign w:val="center"/>
          </w:tcPr>
          <w:p>
            <w:pPr>
              <w:pStyle w:val="ListParagraph"/>
              <w:widowControl w:val="false"/>
              <w:numPr>
                <w:ilvl w:val="2"/>
                <w:numId w:val="8"/>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723"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Квалификация персонала подрядчика, привлекаемого к выполнению работ</w:t>
            </w:r>
          </w:p>
        </w:tc>
        <w:tc>
          <w:tcPr>
            <w:tcW w:w="6023" w:type="dxa"/>
            <w:tcBorders/>
          </w:tcPr>
          <w:p>
            <w:pPr>
              <w:pStyle w:val="Normal"/>
              <w:widowControl w:val="false"/>
              <w:tabs>
                <w:tab w:val="clear" w:pos="708"/>
                <w:tab w:val="left" w:pos="426" w:leader="none"/>
              </w:tabs>
              <w:suppressAutoHyphens w:val="true"/>
              <w:spacing w:before="60" w:after="0"/>
              <w:ind w:firstLine="175"/>
              <w:jc w:val="both"/>
              <w:rPr>
                <w:sz w:val="24"/>
                <w:szCs w:val="24"/>
              </w:rPr>
            </w:pPr>
            <w:r>
              <w:rPr>
                <w:rFonts w:eastAsia="Times New Roman" w:cs="Times New Roman"/>
                <w:kern w:val="0"/>
                <w:sz w:val="24"/>
                <w:szCs w:val="24"/>
                <w:lang w:val="ru-RU" w:eastAsia="ru-RU" w:bidi="ar-SA"/>
              </w:rPr>
              <w:t>Субподрядчик обязан обеспечить соответствующий уровень квалификации, профессиональной подготовки, компетенции, своего персонала и необходимое количество ресурсов для выполнения работ.</w:t>
            </w:r>
          </w:p>
          <w:p>
            <w:pPr>
              <w:pStyle w:val="Normal"/>
              <w:widowControl w:val="false"/>
              <w:tabs>
                <w:tab w:val="clear" w:pos="708"/>
                <w:tab w:val="left" w:pos="426" w:leader="none"/>
              </w:tabs>
              <w:suppressAutoHyphens w:val="true"/>
              <w:spacing w:before="60" w:after="0"/>
              <w:ind w:firstLine="175"/>
              <w:jc w:val="both"/>
              <w:rPr>
                <w:sz w:val="24"/>
                <w:szCs w:val="24"/>
              </w:rPr>
            </w:pPr>
            <w:r>
              <w:rPr>
                <w:rFonts w:eastAsia="Times New Roman" w:cs="Times New Roman"/>
                <w:kern w:val="0"/>
                <w:sz w:val="24"/>
                <w:szCs w:val="24"/>
                <w:lang w:val="ru-RU" w:eastAsia="ru-RU" w:bidi="ar-SA"/>
              </w:rPr>
              <w:t>Весь персонал Субподрядчика, выполняющий работы на территории Новосибирской ГЭС, должен иметь группу по электробезопасности не ниже III группы, с правом обслуживания электроустановок до 1000 В (разд. II «Требования к работникам, допускаемым к выполнению работ в электроустановках» Правил по охране труда при эксплуатации электроустановок, утв. приказом Минтруда России от 15.12.2020 №903н).</w:t>
            </w:r>
          </w:p>
          <w:p>
            <w:pPr>
              <w:pStyle w:val="Normal"/>
              <w:widowControl w:val="false"/>
              <w:tabs>
                <w:tab w:val="clear" w:pos="708"/>
                <w:tab w:val="left" w:pos="426" w:leader="none"/>
              </w:tabs>
              <w:suppressAutoHyphens w:val="true"/>
              <w:spacing w:before="60" w:after="0"/>
              <w:ind w:firstLine="175"/>
              <w:jc w:val="both"/>
              <w:rPr>
                <w:sz w:val="24"/>
                <w:szCs w:val="24"/>
              </w:rPr>
            </w:pPr>
            <w:r>
              <w:rPr>
                <w:rFonts w:eastAsia="Times New Roman" w:cs="Times New Roman"/>
                <w:kern w:val="0"/>
                <w:sz w:val="24"/>
                <w:szCs w:val="24"/>
                <w:lang w:val="ru-RU" w:eastAsia="ru-RU" w:bidi="ar-SA"/>
              </w:rPr>
              <w:t>При работах на высоте ответственный исполнитель (производитель работ) должен иметь группу не ниже II группы по безопасности работ на высоте, член бригады - не ниже I группы по безопасности работ на высоте, ответственное лицо за безопасную организацию и проведение работ на высоте - группу III по безопасности работ на высоте.</w:t>
            </w:r>
          </w:p>
          <w:p>
            <w:pPr>
              <w:pStyle w:val="Normal"/>
              <w:widowControl w:val="false"/>
              <w:tabs>
                <w:tab w:val="clear" w:pos="708"/>
                <w:tab w:val="left" w:pos="426" w:leader="none"/>
              </w:tabs>
              <w:suppressAutoHyphens w:val="true"/>
              <w:spacing w:before="60" w:after="0"/>
              <w:ind w:firstLine="175"/>
              <w:jc w:val="both"/>
              <w:rPr>
                <w:sz w:val="24"/>
                <w:szCs w:val="24"/>
              </w:rPr>
            </w:pPr>
            <w:r>
              <w:rPr>
                <w:rFonts w:eastAsia="Times New Roman" w:cs="Times New Roman"/>
                <w:kern w:val="0"/>
                <w:sz w:val="24"/>
                <w:szCs w:val="24"/>
                <w:lang w:val="ru-RU" w:eastAsia="ru-RU" w:bidi="ar-SA"/>
              </w:rPr>
              <w:t>Работники, выполняющие работы на высоте, должны быть обучены и аттестованы в соответствии с требованиями п. 20 Правил по охране труда при работе на высоте (утв. приказом Минтруда России от 16.11.2020 №782н).</w:t>
            </w:r>
          </w:p>
          <w:p>
            <w:pPr>
              <w:pStyle w:val="Normal"/>
              <w:widowControl w:val="false"/>
              <w:tabs>
                <w:tab w:val="clear" w:pos="708"/>
                <w:tab w:val="left" w:pos="426" w:leader="none"/>
              </w:tabs>
              <w:suppressAutoHyphens w:val="true"/>
              <w:spacing w:before="60" w:after="0"/>
              <w:ind w:firstLine="175"/>
              <w:jc w:val="both"/>
              <w:rPr>
                <w:sz w:val="24"/>
                <w:szCs w:val="24"/>
              </w:rPr>
            </w:pPr>
            <w:r>
              <w:rPr>
                <w:rFonts w:eastAsia="Times New Roman" w:cs="Times New Roman"/>
                <w:kern w:val="0"/>
                <w:sz w:val="24"/>
                <w:szCs w:val="24"/>
                <w:lang w:val="ru-RU" w:eastAsia="ru-RU" w:bidi="ar-SA"/>
              </w:rPr>
              <w:t>Субподрядчик для обеспечения безопасности работ, проводимых на высоте, должен организовать:</w:t>
            </w:r>
          </w:p>
          <w:p>
            <w:pPr>
              <w:pStyle w:val="Normal"/>
              <w:widowControl w:val="false"/>
              <w:tabs>
                <w:tab w:val="clear" w:pos="708"/>
                <w:tab w:val="left" w:pos="426" w:leader="none"/>
              </w:tabs>
              <w:suppressAutoHyphens w:val="true"/>
              <w:spacing w:before="60" w:after="0"/>
              <w:ind w:firstLine="175"/>
              <w:jc w:val="both"/>
              <w:rPr>
                <w:sz w:val="24"/>
                <w:szCs w:val="24"/>
              </w:rPr>
            </w:pPr>
            <w:r>
              <w:rPr>
                <w:rFonts w:eastAsia="Times New Roman" w:cs="Times New Roman"/>
                <w:kern w:val="0"/>
                <w:sz w:val="24"/>
                <w:szCs w:val="24"/>
                <w:lang w:val="ru-RU" w:eastAsia="ru-RU" w:bidi="ar-SA"/>
              </w:rPr>
              <w:t>а) правильный выбор и использование средств защиты;</w:t>
            </w:r>
          </w:p>
          <w:p>
            <w:pPr>
              <w:pStyle w:val="Normal"/>
              <w:widowControl w:val="false"/>
              <w:tabs>
                <w:tab w:val="clear" w:pos="708"/>
                <w:tab w:val="left" w:pos="426" w:leader="none"/>
              </w:tabs>
              <w:suppressAutoHyphens w:val="true"/>
              <w:spacing w:before="60" w:after="0"/>
              <w:ind w:firstLine="175"/>
              <w:jc w:val="both"/>
              <w:rPr>
                <w:sz w:val="24"/>
                <w:szCs w:val="24"/>
              </w:rPr>
            </w:pPr>
            <w:r>
              <w:rPr>
                <w:rFonts w:eastAsia="Times New Roman" w:cs="Times New Roman"/>
                <w:kern w:val="0"/>
                <w:sz w:val="24"/>
                <w:szCs w:val="24"/>
                <w:lang w:val="ru-RU" w:eastAsia="ru-RU" w:bidi="ar-SA"/>
              </w:rPr>
              <w:t>б) соблюдение указаний маркировки средств защиты;</w:t>
            </w:r>
          </w:p>
          <w:p>
            <w:pPr>
              <w:pStyle w:val="Normal"/>
              <w:widowControl w:val="false"/>
              <w:tabs>
                <w:tab w:val="clear" w:pos="708"/>
                <w:tab w:val="left" w:pos="426" w:leader="none"/>
              </w:tabs>
              <w:suppressAutoHyphens w:val="true"/>
              <w:spacing w:before="60" w:after="0"/>
              <w:ind w:firstLine="175"/>
              <w:jc w:val="both"/>
              <w:rPr>
                <w:sz w:val="24"/>
                <w:szCs w:val="24"/>
              </w:rPr>
            </w:pPr>
            <w:r>
              <w:rPr>
                <w:rFonts w:eastAsia="Times New Roman" w:cs="Times New Roman"/>
                <w:kern w:val="0"/>
                <w:sz w:val="24"/>
                <w:szCs w:val="24"/>
                <w:lang w:val="ru-RU" w:eastAsia="ru-RU" w:bidi="ar-SA"/>
              </w:rPr>
              <w:t>в) обслуживание и периодические проверки средств защиты, указанных в эксплуатационной документации (инструкции) изготовителя</w:t>
            </w:r>
          </w:p>
          <w:p>
            <w:pPr>
              <w:pStyle w:val="Normal"/>
              <w:widowControl w:val="false"/>
              <w:tabs>
                <w:tab w:val="clear" w:pos="708"/>
                <w:tab w:val="left" w:pos="426" w:leader="none"/>
              </w:tabs>
              <w:suppressAutoHyphens w:val="true"/>
              <w:spacing w:before="60" w:after="0"/>
              <w:ind w:firstLine="175"/>
              <w:jc w:val="both"/>
              <w:rPr>
                <w:sz w:val="24"/>
                <w:szCs w:val="24"/>
              </w:rPr>
            </w:pPr>
            <w:r>
              <w:rPr>
                <w:rFonts w:eastAsia="Times New Roman" w:cs="Times New Roman"/>
                <w:kern w:val="0"/>
                <w:sz w:val="24"/>
                <w:szCs w:val="24"/>
                <w:lang w:val="ru-RU" w:eastAsia="ru-RU" w:bidi="ar-SA"/>
              </w:rPr>
              <w:t>В соответствии с требованиями п.п. 25, 216 Правил безопасности опасных производственных объектов, на которых используются подъемные сооружения (утв. приказом Ростехнадзора от 26.11.2020 № 461):</w:t>
            </w:r>
          </w:p>
          <w:p>
            <w:pPr>
              <w:pStyle w:val="Normal"/>
              <w:widowControl w:val="false"/>
              <w:tabs>
                <w:tab w:val="clear" w:pos="708"/>
                <w:tab w:val="left" w:pos="426" w:leader="none"/>
              </w:tabs>
              <w:suppressAutoHyphens w:val="true"/>
              <w:spacing w:before="60" w:after="0"/>
              <w:ind w:firstLine="175"/>
              <w:jc w:val="both"/>
              <w:rPr>
                <w:sz w:val="24"/>
                <w:szCs w:val="24"/>
              </w:rPr>
            </w:pPr>
            <w:r>
              <w:rPr>
                <w:rFonts w:eastAsia="Times New Roman" w:cs="Times New Roman"/>
                <w:kern w:val="0"/>
                <w:sz w:val="24"/>
                <w:szCs w:val="24"/>
                <w:lang w:val="ru-RU" w:eastAsia="ru-RU" w:bidi="ar-SA"/>
              </w:rPr>
              <w:t>- работники, непосредственно занимающиеся эксплуатацией подъёмных сооружений должны иметь удостоверения на право самостоятельной работы по управлению подъемным сооружением (ПС);</w:t>
            </w:r>
          </w:p>
          <w:p>
            <w:pPr>
              <w:pStyle w:val="Normal"/>
              <w:widowControl w:val="false"/>
              <w:tabs>
                <w:tab w:val="clear" w:pos="708"/>
                <w:tab w:val="left" w:pos="426" w:leader="none"/>
              </w:tabs>
              <w:suppressAutoHyphens w:val="true"/>
              <w:spacing w:before="60" w:after="0"/>
              <w:ind w:firstLine="175"/>
              <w:jc w:val="both"/>
              <w:rPr>
                <w:sz w:val="24"/>
                <w:szCs w:val="24"/>
              </w:rPr>
            </w:pPr>
            <w:r>
              <w:rPr>
                <w:rFonts w:eastAsia="Times New Roman" w:cs="Times New Roman"/>
                <w:kern w:val="0"/>
                <w:sz w:val="24"/>
                <w:szCs w:val="24"/>
                <w:lang w:val="ru-RU" w:eastAsia="ru-RU" w:bidi="ar-SA"/>
              </w:rPr>
              <w:t>- работники, которые назначаются для выполнения работ по строповке, в том числе по навешиванию на крюк ПС, зацепке и обвязке грузов, перемещаемых ПС с применением грузозахватных приспособлений, должны иметь уровень квалификации, соответствующий профессии "стропальщик", и соответствующие удостоверения.</w:t>
            </w:r>
          </w:p>
          <w:p>
            <w:pPr>
              <w:pStyle w:val="Normal"/>
              <w:widowControl w:val="false"/>
              <w:tabs>
                <w:tab w:val="clear" w:pos="708"/>
                <w:tab w:val="left" w:pos="426" w:leader="none"/>
              </w:tabs>
              <w:suppressAutoHyphens w:val="true"/>
              <w:spacing w:before="60" w:after="0"/>
              <w:ind w:firstLine="175"/>
              <w:jc w:val="both"/>
              <w:rPr>
                <w:iCs/>
                <w:sz w:val="24"/>
                <w:szCs w:val="24"/>
              </w:rPr>
            </w:pPr>
            <w:r>
              <w:rPr>
                <w:rFonts w:eastAsia="Times New Roman" w:cs="Times New Roman"/>
                <w:kern w:val="0"/>
                <w:sz w:val="24"/>
                <w:szCs w:val="24"/>
                <w:lang w:val="ru-RU" w:eastAsia="ru-RU" w:bidi="ar-SA"/>
              </w:rPr>
              <w:t xml:space="preserve"> </w:t>
            </w:r>
            <w:r>
              <w:rPr>
                <w:rFonts w:eastAsia="Times New Roman" w:cs="Times New Roman"/>
                <w:kern w:val="0"/>
                <w:sz w:val="24"/>
                <w:szCs w:val="24"/>
                <w:lang w:val="ru-RU" w:eastAsia="ru-RU" w:bidi="ar-SA"/>
              </w:rPr>
              <w:t>Соответствие настоящим требованиям подтверждается копиями удостоверений.</w:t>
            </w:r>
          </w:p>
          <w:p>
            <w:pPr>
              <w:pStyle w:val="Normal"/>
              <w:widowControl w:val="false"/>
              <w:tabs>
                <w:tab w:val="clear" w:pos="708"/>
                <w:tab w:val="left" w:pos="426" w:leader="none"/>
              </w:tabs>
              <w:suppressAutoHyphens w:val="true"/>
              <w:spacing w:before="60" w:after="0"/>
              <w:ind w:firstLine="175"/>
              <w:jc w:val="both"/>
              <w:rPr>
                <w:sz w:val="24"/>
                <w:szCs w:val="24"/>
              </w:rPr>
            </w:pPr>
            <w:r>
              <w:rPr>
                <w:rFonts w:eastAsia="Times New Roman" w:cs="Times New Roman"/>
                <w:kern w:val="0"/>
                <w:sz w:val="24"/>
                <w:szCs w:val="24"/>
                <w:lang w:val="ru-RU" w:eastAsia="ru-RU" w:bidi="ar-SA"/>
              </w:rPr>
              <w:t>Дополнительно предъявляются следующие требования к Субподрядчику:</w:t>
            </w:r>
          </w:p>
          <w:p>
            <w:pPr>
              <w:pStyle w:val="Normal"/>
              <w:widowControl w:val="false"/>
              <w:tabs>
                <w:tab w:val="clear" w:pos="708"/>
                <w:tab w:val="left" w:pos="426" w:leader="none"/>
              </w:tabs>
              <w:suppressAutoHyphens w:val="true"/>
              <w:spacing w:before="60" w:after="0"/>
              <w:ind w:firstLine="175"/>
              <w:jc w:val="both"/>
              <w:rPr>
                <w:sz w:val="24"/>
                <w:szCs w:val="24"/>
              </w:rPr>
            </w:pPr>
            <w:r>
              <w:rPr>
                <w:rFonts w:eastAsia="Times New Roman" w:cs="Times New Roman"/>
                <w:kern w:val="0"/>
                <w:sz w:val="24"/>
                <w:szCs w:val="24"/>
                <w:lang w:val="ru-RU" w:eastAsia="ru-RU" w:bidi="ar-SA"/>
              </w:rPr>
              <w:t>Субподрядчик должен иметь Службу по охране труда и технике безопасности либо специалиста по охране труда.</w:t>
            </w:r>
          </w:p>
          <w:p>
            <w:pPr>
              <w:pStyle w:val="Normal"/>
              <w:widowControl w:val="false"/>
              <w:tabs>
                <w:tab w:val="clear" w:pos="708"/>
                <w:tab w:val="left" w:pos="426" w:leader="none"/>
              </w:tabs>
              <w:suppressAutoHyphens w:val="true"/>
              <w:spacing w:before="60" w:after="0"/>
              <w:ind w:firstLine="175"/>
              <w:jc w:val="both"/>
              <w:rPr>
                <w:sz w:val="24"/>
                <w:szCs w:val="24"/>
              </w:rPr>
            </w:pPr>
            <w:r>
              <w:rPr>
                <w:rFonts w:eastAsia="Times New Roman" w:cs="Times New Roman"/>
                <w:kern w:val="0"/>
                <w:sz w:val="24"/>
                <w:szCs w:val="24"/>
                <w:lang w:val="ru-RU" w:eastAsia="ru-RU" w:bidi="ar-SA"/>
              </w:rPr>
              <w:t>Все вышеперечисленные работники должны состоять с Субподрядчиком в трудовых отношениях.</w:t>
            </w:r>
          </w:p>
        </w:tc>
        <w:tc>
          <w:tcPr>
            <w:tcW w:w="2658" w:type="dxa"/>
            <w:vMerge w:val="continue"/>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r>
          </w:p>
        </w:tc>
        <w:tc>
          <w:tcPr>
            <w:tcW w:w="2875" w:type="dxa"/>
            <w:vMerge w:val="continue"/>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r>
          </w:p>
        </w:tc>
      </w:tr>
      <w:tr>
        <w:trPr/>
        <w:tc>
          <w:tcPr>
            <w:tcW w:w="858" w:type="dxa"/>
            <w:tcBorders/>
            <w:vAlign w:val="center"/>
          </w:tcPr>
          <w:p>
            <w:pPr>
              <w:pStyle w:val="ListParagraph"/>
              <w:widowControl w:val="false"/>
              <w:numPr>
                <w:ilvl w:val="1"/>
                <w:numId w:val="8"/>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746" w:type="dxa"/>
            <w:gridSpan w:val="2"/>
            <w:tcBorders/>
            <w:vAlign w:val="center"/>
          </w:tcPr>
          <w:p>
            <w:pPr>
              <w:pStyle w:val="Normal"/>
              <w:widowControl w:val="false"/>
              <w:suppressAutoHyphens w:val="true"/>
              <w:spacing w:before="0" w:after="0"/>
              <w:jc w:val="left"/>
              <w:rPr>
                <w:b/>
                <w:sz w:val="24"/>
                <w:szCs w:val="24"/>
              </w:rPr>
            </w:pPr>
            <w:r>
              <w:rPr>
                <w:rFonts w:eastAsia="Times New Roman" w:cs="Times New Roman"/>
                <w:b/>
                <w:kern w:val="0"/>
                <w:sz w:val="24"/>
                <w:szCs w:val="24"/>
                <w:lang w:val="ru-RU" w:eastAsia="ru-RU" w:bidi="ar-SA"/>
              </w:rPr>
              <w:t>Требования к безопасности работ и охране труда</w:t>
            </w:r>
          </w:p>
        </w:tc>
        <w:tc>
          <w:tcPr>
            <w:tcW w:w="2658" w:type="dxa"/>
            <w:vMerge w:val="continue"/>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r>
          </w:p>
        </w:tc>
        <w:tc>
          <w:tcPr>
            <w:tcW w:w="2875" w:type="dxa"/>
            <w:vMerge w:val="continue"/>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r>
          </w:p>
        </w:tc>
      </w:tr>
      <w:tr>
        <w:trPr/>
        <w:tc>
          <w:tcPr>
            <w:tcW w:w="858" w:type="dxa"/>
            <w:tcBorders/>
            <w:vAlign w:val="center"/>
          </w:tcPr>
          <w:p>
            <w:pPr>
              <w:pStyle w:val="ListParagraph"/>
              <w:widowControl w:val="false"/>
              <w:numPr>
                <w:ilvl w:val="2"/>
                <w:numId w:val="8"/>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723"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Требования к безопасности выполняемых работ</w:t>
            </w:r>
          </w:p>
        </w:tc>
        <w:tc>
          <w:tcPr>
            <w:tcW w:w="6023" w:type="dxa"/>
            <w:tcBorders/>
          </w:tcPr>
          <w:p>
            <w:pPr>
              <w:pStyle w:val="ListParagraph"/>
              <w:widowControl w:val="false"/>
              <w:suppressAutoHyphens w:val="true"/>
              <w:spacing w:before="0" w:after="0"/>
              <w:ind w:left="0" w:firstLine="142"/>
              <w:contextualSpacing/>
              <w:jc w:val="both"/>
              <w:rPr>
                <w:iCs/>
              </w:rPr>
            </w:pPr>
            <w:r>
              <w:rPr>
                <w:rFonts w:cs="Times New Roman"/>
                <w:iCs/>
                <w:kern w:val="0"/>
                <w:lang w:val="ru-RU" w:eastAsia="ru-RU" w:bidi="ar-SA"/>
              </w:rPr>
              <w:t>Работы ведутся:</w:t>
            </w:r>
          </w:p>
          <w:p>
            <w:pPr>
              <w:pStyle w:val="ListParagraph"/>
              <w:widowControl w:val="false"/>
              <w:suppressAutoHyphens w:val="true"/>
              <w:spacing w:before="0" w:after="0"/>
              <w:ind w:left="0" w:firstLine="142"/>
              <w:contextualSpacing/>
              <w:jc w:val="both"/>
              <w:rPr>
                <w:iCs/>
              </w:rPr>
            </w:pPr>
            <w:r>
              <w:rPr>
                <w:rFonts w:cs="Times New Roman"/>
                <w:iCs/>
                <w:kern w:val="0"/>
                <w:lang w:val="ru-RU" w:eastAsia="ru-RU" w:bidi="ar-SA"/>
              </w:rPr>
              <w:t>-  в соответствии с Правилами по охране труда при эксплуатации электроустановок (утверждены приказом Минтруда России от 15.12.2020 № 903н)</w:t>
            </w:r>
          </w:p>
          <w:p>
            <w:pPr>
              <w:pStyle w:val="ListParagraph"/>
              <w:widowControl w:val="false"/>
              <w:suppressAutoHyphens w:val="true"/>
              <w:spacing w:before="0" w:after="0"/>
              <w:ind w:left="0" w:firstLine="142"/>
              <w:contextualSpacing/>
              <w:jc w:val="both"/>
              <w:rPr>
                <w:iCs/>
              </w:rPr>
            </w:pPr>
            <w:r>
              <w:rPr>
                <w:rFonts w:cs="Times New Roman"/>
                <w:iCs/>
                <w:kern w:val="0"/>
                <w:lang w:val="ru-RU" w:eastAsia="ru-RU" w:bidi="ar-SA"/>
              </w:rPr>
              <w:t>- по оформленным наряд-допускам;</w:t>
            </w:r>
          </w:p>
          <w:p>
            <w:pPr>
              <w:pStyle w:val="ListParagraph"/>
              <w:widowControl w:val="false"/>
              <w:suppressAutoHyphens w:val="true"/>
              <w:spacing w:before="0" w:after="0"/>
              <w:ind w:left="0" w:firstLine="142"/>
              <w:contextualSpacing/>
              <w:jc w:val="both"/>
              <w:rPr>
                <w:iCs/>
              </w:rPr>
            </w:pPr>
            <w:r>
              <w:rPr>
                <w:rFonts w:cs="Times New Roman"/>
                <w:iCs/>
                <w:kern w:val="0"/>
                <w:lang w:val="ru-RU" w:eastAsia="ru-RU" w:bidi="ar-SA"/>
              </w:rPr>
              <w:t>- по согласованным Генподрядчиком и Заказчиком, и утвержденным Субподрядчиком ППР, ППРв;</w:t>
            </w:r>
          </w:p>
          <w:p>
            <w:pPr>
              <w:pStyle w:val="ListParagraph"/>
              <w:widowControl w:val="false"/>
              <w:suppressAutoHyphens w:val="true"/>
              <w:spacing w:before="0" w:after="0"/>
              <w:ind w:left="0" w:firstLine="142"/>
              <w:contextualSpacing/>
              <w:jc w:val="both"/>
              <w:rPr>
                <w:iCs/>
              </w:rPr>
            </w:pPr>
            <w:r>
              <w:rPr>
                <w:rFonts w:cs="Times New Roman"/>
                <w:iCs/>
                <w:kern w:val="0"/>
                <w:lang w:val="ru-RU" w:eastAsia="ru-RU" w:bidi="ar-SA"/>
              </w:rPr>
              <w:t>- в соответствии с РД;</w:t>
            </w:r>
          </w:p>
          <w:p>
            <w:pPr>
              <w:pStyle w:val="ListParagraph"/>
              <w:widowControl w:val="false"/>
              <w:suppressAutoHyphens w:val="true"/>
              <w:spacing w:before="0" w:after="0"/>
              <w:ind w:left="0" w:firstLine="142"/>
              <w:contextualSpacing/>
              <w:jc w:val="both"/>
              <w:rPr>
                <w:iCs/>
              </w:rPr>
            </w:pPr>
            <w:r>
              <w:rPr>
                <w:rFonts w:cs="Times New Roman"/>
                <w:iCs/>
                <w:kern w:val="0"/>
                <w:lang w:val="ru-RU" w:eastAsia="ru-RU" w:bidi="ar-SA"/>
              </w:rPr>
              <w:t>- без остановки технологического процесса;</w:t>
            </w:r>
          </w:p>
          <w:p>
            <w:pPr>
              <w:pStyle w:val="ListParagraph"/>
              <w:widowControl w:val="false"/>
              <w:suppressAutoHyphens w:val="true"/>
              <w:spacing w:before="0" w:after="0"/>
              <w:ind w:left="0" w:firstLine="142"/>
              <w:contextualSpacing/>
              <w:jc w:val="both"/>
              <w:rPr>
                <w:iCs/>
              </w:rPr>
            </w:pPr>
            <w:r>
              <w:rPr>
                <w:rFonts w:cs="Times New Roman"/>
                <w:iCs/>
                <w:kern w:val="0"/>
                <w:lang w:val="ru-RU" w:eastAsia="ru-RU" w:bidi="ar-SA"/>
              </w:rPr>
              <w:t>- вблизи действующего оборудования, в том числе оборудования под напряжением.</w:t>
            </w:r>
          </w:p>
          <w:p>
            <w:pPr>
              <w:pStyle w:val="ListParagraph"/>
              <w:widowControl w:val="false"/>
              <w:suppressAutoHyphens w:val="true"/>
              <w:spacing w:before="0" w:after="0"/>
              <w:ind w:left="0" w:firstLine="142"/>
              <w:contextualSpacing/>
              <w:jc w:val="both"/>
              <w:rPr>
                <w:iCs/>
              </w:rPr>
            </w:pPr>
            <w:r>
              <w:rPr>
                <w:rFonts w:cs="Times New Roman"/>
                <w:iCs/>
                <w:kern w:val="0"/>
                <w:lang w:val="ru-RU" w:eastAsia="ru-RU" w:bidi="ar-SA"/>
              </w:rPr>
              <w:t>Должна быть обеспечена инженерная подготовка и оборудование рабочей площадки, монтаж строительных лесов, ограждений, переходов, лестниц.</w:t>
            </w:r>
          </w:p>
        </w:tc>
        <w:tc>
          <w:tcPr>
            <w:tcW w:w="2658" w:type="dxa"/>
            <w:vMerge w:val="continue"/>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r>
          </w:p>
        </w:tc>
        <w:tc>
          <w:tcPr>
            <w:tcW w:w="2875" w:type="dxa"/>
            <w:vMerge w:val="continue"/>
            <w:tcBorders/>
          </w:tcPr>
          <w:p>
            <w:pPr>
              <w:pStyle w:val="Normal"/>
              <w:widowControl w:val="false"/>
              <w:tabs>
                <w:tab w:val="clear" w:pos="708"/>
                <w:tab w:val="left" w:pos="426" w:leader="none"/>
              </w:tabs>
              <w:suppressAutoHyphens w:val="true"/>
              <w:spacing w:before="60" w:after="0"/>
              <w:jc w:val="left"/>
              <w:rPr>
                <w:b/>
              </w:rPr>
            </w:pPr>
            <w:r>
              <w:rPr>
                <w:rFonts w:eastAsia="Times New Roman" w:cs="Times New Roman"/>
                <w:b/>
                <w:kern w:val="0"/>
                <w:lang w:val="ru-RU" w:eastAsia="ru-RU" w:bidi="ar-SA"/>
              </w:rPr>
            </w:r>
          </w:p>
        </w:tc>
      </w:tr>
      <w:tr>
        <w:trPr/>
        <w:tc>
          <w:tcPr>
            <w:tcW w:w="858" w:type="dxa"/>
            <w:tcBorders/>
            <w:vAlign w:val="center"/>
          </w:tcPr>
          <w:p>
            <w:pPr>
              <w:pStyle w:val="ListParagraph"/>
              <w:widowControl w:val="false"/>
              <w:numPr>
                <w:ilvl w:val="0"/>
                <w:numId w:val="8"/>
              </w:numPr>
              <w:suppressAutoHyphens w:val="true"/>
              <w:spacing w:before="60" w:after="60"/>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746" w:type="dxa"/>
            <w:gridSpan w:val="2"/>
            <w:tcBorders/>
            <w:vAlign w:val="center"/>
          </w:tcPr>
          <w:p>
            <w:pPr>
              <w:pStyle w:val="Normal"/>
              <w:widowControl w:val="false"/>
              <w:suppressAutoHyphens w:val="true"/>
              <w:spacing w:before="0" w:after="0"/>
              <w:jc w:val="left"/>
              <w:rPr>
                <w:b/>
                <w:bCs/>
                <w:sz w:val="24"/>
                <w:szCs w:val="24"/>
              </w:rPr>
            </w:pPr>
            <w:r>
              <w:rPr>
                <w:rFonts w:eastAsia="Times New Roman" w:cs="Times New Roman"/>
                <w:b/>
                <w:bCs/>
                <w:kern w:val="0"/>
                <w:sz w:val="24"/>
                <w:szCs w:val="24"/>
                <w:lang w:val="ru-RU" w:eastAsia="ru-RU" w:bidi="ar-SA"/>
              </w:rPr>
              <w:t>Требования к результатам работ</w:t>
            </w:r>
          </w:p>
        </w:tc>
        <w:tc>
          <w:tcPr>
            <w:tcW w:w="2658" w:type="dxa"/>
            <w:vMerge w:val="continue"/>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r>
          </w:p>
        </w:tc>
        <w:tc>
          <w:tcPr>
            <w:tcW w:w="2875" w:type="dxa"/>
            <w:vMerge w:val="continue"/>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r>
          </w:p>
        </w:tc>
      </w:tr>
      <w:tr>
        <w:trPr/>
        <w:tc>
          <w:tcPr>
            <w:tcW w:w="858" w:type="dxa"/>
            <w:tcBorders/>
            <w:vAlign w:val="center"/>
          </w:tcPr>
          <w:p>
            <w:pPr>
              <w:pStyle w:val="ListParagraph"/>
              <w:widowControl w:val="false"/>
              <w:numPr>
                <w:ilvl w:val="1"/>
                <w:numId w:val="8"/>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746" w:type="dxa"/>
            <w:gridSpan w:val="2"/>
            <w:tcBorders/>
            <w:vAlign w:val="center"/>
          </w:tcPr>
          <w:p>
            <w:pPr>
              <w:pStyle w:val="Normal"/>
              <w:widowControl w:val="false"/>
              <w:suppressAutoHyphens w:val="true"/>
              <w:spacing w:before="60" w:after="0"/>
              <w:jc w:val="left"/>
              <w:rPr>
                <w:b/>
                <w:sz w:val="24"/>
                <w:szCs w:val="24"/>
              </w:rPr>
            </w:pPr>
            <w:r>
              <w:rPr>
                <w:rFonts w:eastAsia="Times New Roman" w:cs="Times New Roman"/>
                <w:b/>
                <w:kern w:val="0"/>
                <w:sz w:val="24"/>
                <w:szCs w:val="24"/>
                <w:lang w:val="ru-RU" w:eastAsia="ru-RU" w:bidi="ar-SA"/>
              </w:rPr>
              <w:t>Общие требования к результатам работ</w:t>
            </w:r>
          </w:p>
        </w:tc>
        <w:tc>
          <w:tcPr>
            <w:tcW w:w="2658" w:type="dxa"/>
            <w:vMerge w:val="continue"/>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r>
          </w:p>
        </w:tc>
        <w:tc>
          <w:tcPr>
            <w:tcW w:w="2875" w:type="dxa"/>
            <w:vMerge w:val="continue"/>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r>
          </w:p>
        </w:tc>
      </w:tr>
      <w:tr>
        <w:trPr/>
        <w:tc>
          <w:tcPr>
            <w:tcW w:w="858" w:type="dxa"/>
            <w:tcBorders/>
            <w:vAlign w:val="center"/>
          </w:tcPr>
          <w:p>
            <w:pPr>
              <w:pStyle w:val="ListParagraph"/>
              <w:widowControl w:val="false"/>
              <w:numPr>
                <w:ilvl w:val="2"/>
                <w:numId w:val="8"/>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723"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Результат работ</w:t>
            </w:r>
          </w:p>
        </w:tc>
        <w:tc>
          <w:tcPr>
            <w:tcW w:w="6023" w:type="dxa"/>
            <w:tcBorders/>
          </w:tcPr>
          <w:p>
            <w:pPr>
              <w:pStyle w:val="Normal"/>
              <w:widowControl w:val="false"/>
              <w:suppressAutoHyphens w:val="true"/>
              <w:spacing w:before="0" w:after="0"/>
              <w:ind w:firstLine="175"/>
              <w:jc w:val="both"/>
              <w:rPr>
                <w:iCs/>
                <w:sz w:val="24"/>
                <w:szCs w:val="24"/>
              </w:rPr>
            </w:pPr>
            <w:r>
              <w:rPr>
                <w:rFonts w:eastAsia="Times New Roman" w:cs="Times New Roman"/>
                <w:iCs/>
                <w:kern w:val="0"/>
                <w:sz w:val="24"/>
                <w:szCs w:val="24"/>
                <w:lang w:val="ru-RU" w:eastAsia="ru-RU" w:bidi="ar-SA"/>
              </w:rPr>
              <w:t>По завершению работ Субподрядчик обязан предоставить функционирующую систему вентиляции в соответствии с РД.</w:t>
            </w:r>
          </w:p>
        </w:tc>
        <w:tc>
          <w:tcPr>
            <w:tcW w:w="2658" w:type="dxa"/>
            <w:vMerge w:val="continue"/>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r>
          </w:p>
        </w:tc>
        <w:tc>
          <w:tcPr>
            <w:tcW w:w="2875" w:type="dxa"/>
            <w:vMerge w:val="continue"/>
            <w:tcBorders/>
          </w:tcPr>
          <w:p>
            <w:pPr>
              <w:pStyle w:val="Style27"/>
              <w:keepNext w:val="false"/>
              <w:widowControl w:val="false"/>
              <w:numPr>
                <w:ilvl w:val="0"/>
                <w:numId w:val="0"/>
              </w:numPr>
              <w:suppressAutoHyphens w:val="true"/>
              <w:spacing w:before="0" w:after="60"/>
              <w:jc w:val="left"/>
              <w:outlineLvl w:val="2"/>
              <w:rPr>
                <w:rFonts w:eastAsia="Times New Roman"/>
                <w:b w:val="false"/>
                <w:lang w:val="ru-RU" w:eastAsia="ru-RU"/>
              </w:rPr>
            </w:pPr>
            <w:r>
              <w:rPr>
                <w:rFonts w:eastAsia="Times New Roman" w:cs="Times New Roman"/>
                <w:b w:val="false"/>
                <w:kern w:val="0"/>
                <w:sz w:val="20"/>
                <w:szCs w:val="20"/>
                <w:lang w:val="ru-RU" w:eastAsia="ru-RU" w:bidi="ar-SA"/>
              </w:rPr>
            </w:r>
          </w:p>
        </w:tc>
      </w:tr>
      <w:tr>
        <w:trPr/>
        <w:tc>
          <w:tcPr>
            <w:tcW w:w="858" w:type="dxa"/>
            <w:tcBorders/>
            <w:vAlign w:val="center"/>
          </w:tcPr>
          <w:p>
            <w:pPr>
              <w:pStyle w:val="ListParagraph"/>
              <w:widowControl w:val="false"/>
              <w:numPr>
                <w:ilvl w:val="1"/>
                <w:numId w:val="8"/>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746" w:type="dxa"/>
            <w:gridSpan w:val="2"/>
            <w:tcBorders/>
            <w:vAlign w:val="center"/>
          </w:tcPr>
          <w:p>
            <w:pPr>
              <w:pStyle w:val="Normal"/>
              <w:widowControl w:val="false"/>
              <w:suppressAutoHyphens w:val="true"/>
              <w:spacing w:before="60" w:after="0"/>
              <w:jc w:val="both"/>
              <w:rPr>
                <w:rStyle w:val="Style8"/>
                <w:i w:val="false"/>
                <w:i w:val="false"/>
                <w:sz w:val="24"/>
                <w:szCs w:val="24"/>
                <w:shd w:fill="auto" w:val="clear"/>
              </w:rPr>
            </w:pPr>
            <w:r>
              <w:rPr>
                <w:rFonts w:eastAsia="Times New Roman" w:cs="Times New Roman"/>
                <w:b/>
                <w:kern w:val="0"/>
                <w:sz w:val="24"/>
                <w:szCs w:val="24"/>
                <w:lang w:val="ru-RU" w:eastAsia="ru-RU" w:bidi="ar-SA"/>
              </w:rPr>
              <w:t>Требования к техническим и функциональным характеристикам объекта, которые должны быть достигнуты в результате выполнения работ, включая гарантируемые показатели</w:t>
            </w:r>
          </w:p>
        </w:tc>
        <w:tc>
          <w:tcPr>
            <w:tcW w:w="2658" w:type="dxa"/>
            <w:vMerge w:val="continue"/>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r>
          </w:p>
        </w:tc>
        <w:tc>
          <w:tcPr>
            <w:tcW w:w="2875" w:type="dxa"/>
            <w:vMerge w:val="continue"/>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r>
          </w:p>
        </w:tc>
      </w:tr>
      <w:tr>
        <w:trPr/>
        <w:tc>
          <w:tcPr>
            <w:tcW w:w="858" w:type="dxa"/>
            <w:tcBorders/>
            <w:vAlign w:val="center"/>
          </w:tcPr>
          <w:p>
            <w:pPr>
              <w:pStyle w:val="ListParagraph"/>
              <w:widowControl w:val="false"/>
              <w:numPr>
                <w:ilvl w:val="2"/>
                <w:numId w:val="8"/>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723" w:type="dxa"/>
            <w:tcBorders/>
          </w:tcPr>
          <w:p>
            <w:pPr>
              <w:pStyle w:val="Normal"/>
              <w:widowControl w:val="false"/>
              <w:tabs>
                <w:tab w:val="clear" w:pos="708"/>
                <w:tab w:val="left" w:pos="426" w:leader="none"/>
              </w:tabs>
              <w:suppressAutoHyphens w:val="true"/>
              <w:spacing w:before="60" w:after="0"/>
              <w:jc w:val="left"/>
              <w:rPr>
                <w:bCs/>
                <w:sz w:val="24"/>
                <w:szCs w:val="24"/>
              </w:rPr>
            </w:pPr>
            <w:r>
              <w:rPr>
                <w:rFonts w:eastAsia="Times New Roman" w:cs="Times New Roman"/>
                <w:bCs/>
                <w:kern w:val="0"/>
                <w:sz w:val="24"/>
                <w:szCs w:val="24"/>
                <w:lang w:val="ru-RU" w:eastAsia="ru-RU" w:bidi="ar-SA"/>
              </w:rPr>
              <w:t>Общие требования</w:t>
            </w:r>
          </w:p>
        </w:tc>
        <w:tc>
          <w:tcPr>
            <w:tcW w:w="6023" w:type="dxa"/>
            <w:tcBorders/>
          </w:tcPr>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Строительные конструкции и сети электроснабжения по результатам выполненных работ, должны обеспечивать надежную безаварийную работу системы вентиляции.</w:t>
            </w:r>
          </w:p>
        </w:tc>
        <w:tc>
          <w:tcPr>
            <w:tcW w:w="2658" w:type="dxa"/>
            <w:vMerge w:val="continue"/>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r>
          </w:p>
        </w:tc>
        <w:tc>
          <w:tcPr>
            <w:tcW w:w="2875" w:type="dxa"/>
            <w:vMerge w:val="continue"/>
            <w:tcBorders/>
          </w:tcPr>
          <w:p>
            <w:pPr>
              <w:pStyle w:val="Style27"/>
              <w:keepNext w:val="false"/>
              <w:widowControl w:val="false"/>
              <w:numPr>
                <w:ilvl w:val="0"/>
                <w:numId w:val="0"/>
              </w:numPr>
              <w:suppressAutoHyphens w:val="true"/>
              <w:spacing w:before="0" w:after="60"/>
              <w:jc w:val="left"/>
              <w:outlineLvl w:val="2"/>
              <w:rPr>
                <w:rFonts w:eastAsia="Times New Roman"/>
                <w:b w:val="false"/>
                <w:bCs/>
                <w:lang w:val="ru-RU" w:eastAsia="ru-RU"/>
              </w:rPr>
            </w:pPr>
            <w:r>
              <w:rPr>
                <w:rFonts w:eastAsia="Times New Roman" w:cs="Times New Roman"/>
                <w:b w:val="false"/>
                <w:bCs/>
                <w:kern w:val="0"/>
                <w:sz w:val="20"/>
                <w:szCs w:val="20"/>
                <w:lang w:val="ru-RU" w:eastAsia="ru-RU" w:bidi="ar-SA"/>
              </w:rPr>
            </w:r>
          </w:p>
        </w:tc>
      </w:tr>
      <w:tr>
        <w:trPr/>
        <w:tc>
          <w:tcPr>
            <w:tcW w:w="858" w:type="dxa"/>
            <w:tcBorders/>
            <w:vAlign w:val="center"/>
          </w:tcPr>
          <w:p>
            <w:pPr>
              <w:pStyle w:val="ListParagraph"/>
              <w:widowControl w:val="false"/>
              <w:numPr>
                <w:ilvl w:val="1"/>
                <w:numId w:val="8"/>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746" w:type="dxa"/>
            <w:gridSpan w:val="2"/>
            <w:tcBorders/>
            <w:vAlign w:val="center"/>
          </w:tcPr>
          <w:p>
            <w:pPr>
              <w:pStyle w:val="Normal"/>
              <w:widowControl w:val="false"/>
              <w:suppressAutoHyphens w:val="true"/>
              <w:spacing w:before="0" w:after="0"/>
              <w:jc w:val="both"/>
              <w:rPr>
                <w:bCs/>
                <w:sz w:val="24"/>
                <w:szCs w:val="24"/>
              </w:rPr>
            </w:pPr>
            <w:r>
              <w:rPr>
                <w:rFonts w:eastAsia="Times New Roman" w:cs="Times New Roman"/>
                <w:b/>
                <w:bCs/>
                <w:kern w:val="0"/>
                <w:sz w:val="24"/>
                <w:szCs w:val="24"/>
                <w:lang w:val="ru-RU" w:eastAsia="ru-RU" w:bidi="ar-SA"/>
              </w:rPr>
              <w:t>Требования к порядку приемки результатов работ</w:t>
            </w:r>
          </w:p>
        </w:tc>
        <w:tc>
          <w:tcPr>
            <w:tcW w:w="2658" w:type="dxa"/>
            <w:vMerge w:val="continue"/>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r>
          </w:p>
        </w:tc>
        <w:tc>
          <w:tcPr>
            <w:tcW w:w="2875" w:type="dxa"/>
            <w:vMerge w:val="continue"/>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r>
          </w:p>
        </w:tc>
      </w:tr>
      <w:tr>
        <w:trPr/>
        <w:tc>
          <w:tcPr>
            <w:tcW w:w="858" w:type="dxa"/>
            <w:tcBorders/>
            <w:vAlign w:val="center"/>
          </w:tcPr>
          <w:p>
            <w:pPr>
              <w:pStyle w:val="ListParagraph"/>
              <w:widowControl w:val="false"/>
              <w:numPr>
                <w:ilvl w:val="2"/>
                <w:numId w:val="8"/>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723"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Общие требования</w:t>
            </w:r>
          </w:p>
        </w:tc>
        <w:tc>
          <w:tcPr>
            <w:tcW w:w="6023" w:type="dxa"/>
            <w:tcBorders/>
          </w:tcPr>
          <w:p>
            <w:pPr>
              <w:pStyle w:val="Normal"/>
              <w:widowControl w:val="false"/>
              <w:tabs>
                <w:tab w:val="clear" w:pos="708"/>
                <w:tab w:val="left" w:pos="426" w:leader="none"/>
              </w:tabs>
              <w:suppressAutoHyphens w:val="true"/>
              <w:spacing w:before="60" w:after="0"/>
              <w:ind w:firstLine="175"/>
              <w:jc w:val="both"/>
              <w:rPr>
                <w:iCs/>
                <w:sz w:val="24"/>
                <w:szCs w:val="24"/>
              </w:rPr>
            </w:pPr>
            <w:r>
              <w:rPr>
                <w:rFonts w:eastAsia="Times New Roman" w:cs="Times New Roman"/>
                <w:iCs/>
                <w:kern w:val="0"/>
                <w:sz w:val="24"/>
                <w:szCs w:val="24"/>
                <w:lang w:val="ru-RU" w:eastAsia="ru-RU" w:bidi="ar-SA"/>
              </w:rPr>
              <w:t>В ходе выполнения работ Субподрядчик обязан поэтапно сдавать Генподрядчику и Заказчику выполненные работы, кроме того, в ходе выполнения работ Субподрядчик обязан своевременно представлять к освидетельствованию скрытые работы и вести исполнительную документацию в соответствии с Приказом Минстроя России от 16.05.2023 N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p>
        </w:tc>
        <w:tc>
          <w:tcPr>
            <w:tcW w:w="2658" w:type="dxa"/>
            <w:vMerge w:val="continue"/>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r>
          </w:p>
        </w:tc>
        <w:tc>
          <w:tcPr>
            <w:tcW w:w="2875" w:type="dxa"/>
            <w:vMerge w:val="continue"/>
            <w:tcBorders/>
          </w:tcPr>
          <w:p>
            <w:pPr>
              <w:pStyle w:val="Normal"/>
              <w:widowControl w:val="false"/>
              <w:tabs>
                <w:tab w:val="clear" w:pos="708"/>
                <w:tab w:val="left" w:pos="426" w:leader="none"/>
              </w:tabs>
              <w:suppressAutoHyphens w:val="true"/>
              <w:spacing w:before="60" w:after="0"/>
              <w:jc w:val="left"/>
              <w:rPr>
                <w:b/>
                <w:sz w:val="24"/>
                <w:szCs w:val="24"/>
              </w:rPr>
            </w:pPr>
            <w:r>
              <w:rPr>
                <w:rFonts w:eastAsia="Times New Roman" w:cs="Times New Roman"/>
                <w:b/>
                <w:kern w:val="0"/>
                <w:sz w:val="24"/>
                <w:szCs w:val="24"/>
                <w:lang w:val="ru-RU" w:eastAsia="ru-RU" w:bidi="ar-SA"/>
              </w:rPr>
            </w:r>
          </w:p>
        </w:tc>
      </w:tr>
      <w:tr>
        <w:trPr/>
        <w:tc>
          <w:tcPr>
            <w:tcW w:w="858" w:type="dxa"/>
            <w:tcBorders/>
            <w:vAlign w:val="center"/>
          </w:tcPr>
          <w:p>
            <w:pPr>
              <w:pStyle w:val="ListParagraph"/>
              <w:widowControl w:val="false"/>
              <w:numPr>
                <w:ilvl w:val="1"/>
                <w:numId w:val="8"/>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746" w:type="dxa"/>
            <w:gridSpan w:val="2"/>
            <w:tcBorders/>
            <w:vAlign w:val="center"/>
          </w:tcPr>
          <w:p>
            <w:pPr>
              <w:pStyle w:val="Normal"/>
              <w:widowControl w:val="false"/>
              <w:suppressAutoHyphens w:val="true"/>
              <w:spacing w:before="60" w:after="0"/>
              <w:jc w:val="left"/>
              <w:rPr>
                <w:b/>
                <w:sz w:val="24"/>
                <w:szCs w:val="24"/>
              </w:rPr>
            </w:pPr>
            <w:r>
              <w:rPr>
                <w:rFonts w:eastAsia="Times New Roman" w:cs="Times New Roman"/>
                <w:b/>
                <w:kern w:val="0"/>
                <w:sz w:val="24"/>
                <w:szCs w:val="24"/>
                <w:lang w:val="ru-RU" w:eastAsia="ru-RU" w:bidi="ar-SA"/>
              </w:rPr>
              <w:t>Требования к оформлению документации</w:t>
            </w:r>
          </w:p>
        </w:tc>
        <w:tc>
          <w:tcPr>
            <w:tcW w:w="2658" w:type="dxa"/>
            <w:vMerge w:val="continue"/>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r>
          </w:p>
        </w:tc>
        <w:tc>
          <w:tcPr>
            <w:tcW w:w="2875" w:type="dxa"/>
            <w:vMerge w:val="continue"/>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r>
          </w:p>
        </w:tc>
      </w:tr>
      <w:tr>
        <w:trPr/>
        <w:tc>
          <w:tcPr>
            <w:tcW w:w="858" w:type="dxa"/>
            <w:tcBorders/>
            <w:vAlign w:val="center"/>
          </w:tcPr>
          <w:p>
            <w:pPr>
              <w:pStyle w:val="ListParagraph"/>
              <w:widowControl w:val="false"/>
              <w:numPr>
                <w:ilvl w:val="2"/>
                <w:numId w:val="8"/>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723" w:type="dxa"/>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Документы, передаваемые Генподрядчику и Заказчику по результатам выполненных работ</w:t>
            </w:r>
          </w:p>
        </w:tc>
        <w:tc>
          <w:tcPr>
            <w:tcW w:w="6023" w:type="dxa"/>
            <w:tcBorders/>
            <w:vAlign w:val="center"/>
          </w:tcPr>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Субподрядчик обязан составить, оформить и согласовать с Генподрядчиком и Заказчиком перечень Приемо-сдаточной и Исполнительной документации (далее - Перечень).</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Исполнительная документация оформляется в соответствии с Требованиями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требованиями, предъявляемыми к актам освидетельствования работ, конструкций, участков сетей инженерно-технического обеспечения, утвержденными Приказом Ростехнадзора от 26.12.2006 № 1128.</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Субподрядчик обязан передать Генподрядчику отчет о выполненных работах, включая:</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комиссионные акты входного контроля закупаемых Субподрядчиком материалов (в произвольной форме) на соответствие продукции требованиям технической документации;</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сертификаты, подтверждающие соответствие требованиям конструкторской и нормативно-технической документации материалов (форма завода-изготовителя);</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журналы работ (в том числе журнала общих работ, специальных работ, сварочных работ, кабельный журнал);</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реестр отчетной, эксплуатационной и исполнительной документации, согласованный с Генподрядчиком и Заказчиком;</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паспорта на вновь смонтированное оборудование;</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акты приемки скрытых работ;</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акты готовности электромонтажных работ с приложениями;</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кабельные журналы с указанием адресов и длин кабельных линий.</w:t>
            </w:r>
          </w:p>
          <w:p>
            <w:pPr>
              <w:pStyle w:val="Normal"/>
              <w:widowControl w:val="false"/>
              <w:suppressAutoHyphens w:val="true"/>
              <w:spacing w:before="0" w:after="0"/>
              <w:ind w:firstLine="175"/>
              <w:jc w:val="both"/>
              <w:rPr>
                <w:iCs/>
                <w:sz w:val="24"/>
                <w:szCs w:val="24"/>
              </w:rPr>
            </w:pPr>
            <w:r>
              <w:rPr>
                <w:rFonts w:eastAsia="Times New Roman" w:cs="Times New Roman"/>
                <w:iCs/>
                <w:kern w:val="0"/>
                <w:sz w:val="24"/>
                <w:szCs w:val="24"/>
                <w:lang w:val="ru-RU" w:eastAsia="ru-RU" w:bidi="ar-SA"/>
              </w:rPr>
              <w:t>Вся документация должна передаваться Генподрядчику и Заказчику по реестру: оригинал в бумажном варианте 3 экземпляра, и в электронном виде в формате *.</w:t>
            </w:r>
            <w:r>
              <w:rPr>
                <w:rFonts w:eastAsia="Times New Roman" w:cs="Times New Roman"/>
                <w:iCs/>
                <w:kern w:val="0"/>
                <w:sz w:val="24"/>
                <w:szCs w:val="24"/>
                <w:lang w:val="en-US" w:eastAsia="ru-RU" w:bidi="ar-SA"/>
              </w:rPr>
              <w:t>pdf</w:t>
            </w:r>
            <w:r>
              <w:rPr>
                <w:rFonts w:eastAsia="Times New Roman" w:cs="Times New Roman"/>
                <w:iCs/>
                <w:kern w:val="0"/>
                <w:sz w:val="24"/>
                <w:szCs w:val="24"/>
                <w:lang w:val="ru-RU" w:eastAsia="ru-RU" w:bidi="ar-SA"/>
              </w:rPr>
              <w:t xml:space="preserve"> (или аналог), и в редактируемом виде (</w:t>
            </w:r>
            <w:r>
              <w:rPr>
                <w:rFonts w:eastAsia="Times New Roman" w:cs="Times New Roman"/>
                <w:iCs/>
                <w:kern w:val="0"/>
                <w:sz w:val="24"/>
                <w:szCs w:val="24"/>
                <w:lang w:val="en-US" w:eastAsia="ru-RU" w:bidi="ar-SA"/>
              </w:rPr>
              <w:t>VSD</w:t>
            </w:r>
            <w:r>
              <w:rPr>
                <w:rFonts w:eastAsia="Times New Roman" w:cs="Times New Roman"/>
                <w:iCs/>
                <w:kern w:val="0"/>
                <w:sz w:val="24"/>
                <w:szCs w:val="24"/>
                <w:lang w:val="ru-RU" w:eastAsia="ru-RU" w:bidi="ar-SA"/>
              </w:rPr>
              <w:t>-</w:t>
            </w:r>
            <w:r>
              <w:rPr>
                <w:rFonts w:eastAsia="Times New Roman" w:cs="Times New Roman"/>
                <w:iCs/>
                <w:kern w:val="0"/>
                <w:sz w:val="24"/>
                <w:szCs w:val="24"/>
                <w:lang w:val="en-US" w:eastAsia="ru-RU" w:bidi="ar-SA"/>
              </w:rPr>
              <w:t>Visio</w:t>
            </w:r>
            <w:r>
              <w:rPr>
                <w:rFonts w:eastAsia="Times New Roman" w:cs="Times New Roman"/>
                <w:iCs/>
                <w:kern w:val="0"/>
                <w:sz w:val="24"/>
                <w:szCs w:val="24"/>
                <w:lang w:val="ru-RU" w:eastAsia="ru-RU" w:bidi="ar-SA"/>
              </w:rPr>
              <w:t xml:space="preserve">, </w:t>
            </w:r>
            <w:r>
              <w:rPr>
                <w:rFonts w:eastAsia="Times New Roman" w:cs="Times New Roman"/>
                <w:iCs/>
                <w:kern w:val="0"/>
                <w:sz w:val="24"/>
                <w:szCs w:val="24"/>
                <w:lang w:val="en-US" w:eastAsia="ru-RU" w:bidi="ar-SA"/>
              </w:rPr>
              <w:t>DWG</w:t>
            </w:r>
            <w:r>
              <w:rPr>
                <w:rFonts w:eastAsia="Times New Roman" w:cs="Times New Roman"/>
                <w:iCs/>
                <w:kern w:val="0"/>
                <w:sz w:val="24"/>
                <w:szCs w:val="24"/>
                <w:lang w:val="ru-RU" w:eastAsia="ru-RU" w:bidi="ar-SA"/>
              </w:rPr>
              <w:t xml:space="preserve">, </w:t>
            </w:r>
            <w:r>
              <w:rPr>
                <w:rFonts w:eastAsia="Times New Roman" w:cs="Times New Roman"/>
                <w:iCs/>
                <w:kern w:val="0"/>
                <w:sz w:val="24"/>
                <w:szCs w:val="24"/>
                <w:lang w:val="en-US" w:eastAsia="ru-RU" w:bidi="ar-SA"/>
              </w:rPr>
              <w:t>DOC</w:t>
            </w:r>
            <w:r>
              <w:rPr>
                <w:rFonts w:eastAsia="Times New Roman" w:cs="Times New Roman"/>
                <w:iCs/>
                <w:kern w:val="0"/>
                <w:sz w:val="24"/>
                <w:szCs w:val="24"/>
                <w:lang w:val="ru-RU" w:eastAsia="ru-RU" w:bidi="ar-SA"/>
              </w:rPr>
              <w:t>-</w:t>
            </w:r>
            <w:r>
              <w:rPr>
                <w:rFonts w:eastAsia="Times New Roman" w:cs="Times New Roman"/>
                <w:iCs/>
                <w:kern w:val="0"/>
                <w:sz w:val="24"/>
                <w:szCs w:val="24"/>
                <w:lang w:val="en-US" w:eastAsia="ru-RU" w:bidi="ar-SA"/>
              </w:rPr>
              <w:t>Word</w:t>
            </w:r>
            <w:r>
              <w:rPr>
                <w:rFonts w:eastAsia="Times New Roman" w:cs="Times New Roman"/>
                <w:iCs/>
                <w:kern w:val="0"/>
                <w:sz w:val="24"/>
                <w:szCs w:val="24"/>
                <w:lang w:val="ru-RU" w:eastAsia="ru-RU" w:bidi="ar-SA"/>
              </w:rPr>
              <w:t xml:space="preserve">, </w:t>
            </w:r>
            <w:r>
              <w:rPr>
                <w:rFonts w:eastAsia="Times New Roman" w:cs="Times New Roman"/>
                <w:iCs/>
                <w:kern w:val="0"/>
                <w:sz w:val="24"/>
                <w:szCs w:val="24"/>
                <w:lang w:val="en-US" w:eastAsia="ru-RU" w:bidi="ar-SA"/>
              </w:rPr>
              <w:t>XLS</w:t>
            </w:r>
            <w:r>
              <w:rPr>
                <w:rFonts w:eastAsia="Times New Roman" w:cs="Times New Roman"/>
                <w:iCs/>
                <w:kern w:val="0"/>
                <w:sz w:val="24"/>
                <w:szCs w:val="24"/>
                <w:lang w:val="ru-RU" w:eastAsia="ru-RU" w:bidi="ar-SA"/>
              </w:rPr>
              <w:t>-</w:t>
            </w:r>
            <w:r>
              <w:rPr>
                <w:rFonts w:eastAsia="Times New Roman" w:cs="Times New Roman"/>
                <w:iCs/>
                <w:kern w:val="0"/>
                <w:sz w:val="24"/>
                <w:szCs w:val="24"/>
                <w:lang w:val="en-US" w:eastAsia="ru-RU" w:bidi="ar-SA"/>
              </w:rPr>
              <w:t>Ex</w:t>
            </w:r>
            <w:r>
              <w:rPr>
                <w:rFonts w:eastAsia="Times New Roman" w:cs="Times New Roman"/>
                <w:iCs/>
                <w:kern w:val="0"/>
                <w:sz w:val="24"/>
                <w:szCs w:val="24"/>
                <w:lang w:val="ru-RU" w:eastAsia="ru-RU" w:bidi="ar-SA"/>
              </w:rPr>
              <w:t>с</w:t>
            </w:r>
            <w:r>
              <w:rPr>
                <w:rFonts w:eastAsia="Times New Roman" w:cs="Times New Roman"/>
                <w:iCs/>
                <w:kern w:val="0"/>
                <w:sz w:val="24"/>
                <w:szCs w:val="24"/>
                <w:lang w:val="en-US" w:eastAsia="ru-RU" w:bidi="ar-SA"/>
              </w:rPr>
              <w:t>el</w:t>
            </w:r>
            <w:r>
              <w:rPr>
                <w:rFonts w:eastAsia="Times New Roman" w:cs="Times New Roman"/>
                <w:iCs/>
                <w:kern w:val="0"/>
                <w:sz w:val="24"/>
                <w:szCs w:val="24"/>
                <w:lang w:val="ru-RU" w:eastAsia="ru-RU" w:bidi="ar-SA"/>
              </w:rPr>
              <w:t>), в формате разработки - на твердотельном накопителе (</w:t>
            </w:r>
            <w:r>
              <w:rPr>
                <w:rFonts w:eastAsia="Times New Roman" w:cs="Times New Roman"/>
                <w:iCs/>
                <w:kern w:val="0"/>
                <w:sz w:val="24"/>
                <w:szCs w:val="24"/>
                <w:lang w:val="en-US" w:eastAsia="ru-RU" w:bidi="ar-SA"/>
              </w:rPr>
              <w:t>SSD</w:t>
            </w:r>
            <w:r>
              <w:rPr>
                <w:rFonts w:eastAsia="Times New Roman" w:cs="Times New Roman"/>
                <w:iCs/>
                <w:kern w:val="0"/>
                <w:sz w:val="24"/>
                <w:szCs w:val="24"/>
                <w:lang w:val="ru-RU" w:eastAsia="ru-RU" w:bidi="ar-SA"/>
              </w:rPr>
              <w:t xml:space="preserve">). </w:t>
            </w:r>
          </w:p>
        </w:tc>
        <w:tc>
          <w:tcPr>
            <w:tcW w:w="2658" w:type="dxa"/>
            <w:vMerge w:val="continue"/>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r>
          </w:p>
        </w:tc>
        <w:tc>
          <w:tcPr>
            <w:tcW w:w="2875" w:type="dxa"/>
            <w:vMerge w:val="continue"/>
            <w:tcBorders/>
          </w:tcPr>
          <w:p>
            <w:pPr>
              <w:pStyle w:val="Style27"/>
              <w:keepNext w:val="false"/>
              <w:widowControl w:val="false"/>
              <w:numPr>
                <w:ilvl w:val="0"/>
                <w:numId w:val="0"/>
              </w:numPr>
              <w:suppressAutoHyphens w:val="true"/>
              <w:spacing w:before="0" w:after="60"/>
              <w:jc w:val="left"/>
              <w:outlineLvl w:val="2"/>
              <w:rPr>
                <w:lang w:val="ru-RU"/>
              </w:rPr>
            </w:pPr>
            <w:r>
              <w:rPr>
                <w:rFonts w:eastAsia="Times New Roman" w:cs="Times New Roman"/>
                <w:kern w:val="0"/>
                <w:sz w:val="20"/>
                <w:szCs w:val="20"/>
                <w:lang w:val="ru-RU" w:eastAsia="ru-RU" w:bidi="ar-SA"/>
              </w:rPr>
            </w:r>
          </w:p>
        </w:tc>
      </w:tr>
      <w:tr>
        <w:trPr/>
        <w:tc>
          <w:tcPr>
            <w:tcW w:w="858" w:type="dxa"/>
            <w:tcBorders/>
            <w:vAlign w:val="center"/>
          </w:tcPr>
          <w:p>
            <w:pPr>
              <w:pStyle w:val="ListParagraph"/>
              <w:widowControl w:val="false"/>
              <w:numPr>
                <w:ilvl w:val="0"/>
                <w:numId w:val="8"/>
              </w:numPr>
              <w:suppressAutoHyphens w:val="true"/>
              <w:spacing w:before="60" w:after="60"/>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746" w:type="dxa"/>
            <w:gridSpan w:val="2"/>
            <w:tcBorders/>
            <w:vAlign w:val="center"/>
          </w:tcPr>
          <w:p>
            <w:pPr>
              <w:pStyle w:val="Normal"/>
              <w:widowControl w:val="false"/>
              <w:suppressAutoHyphens w:val="true"/>
              <w:spacing w:before="20" w:after="0"/>
              <w:jc w:val="both"/>
              <w:rPr>
                <w:b/>
                <w:sz w:val="24"/>
                <w:szCs w:val="24"/>
              </w:rPr>
            </w:pPr>
            <w:r>
              <w:rPr>
                <w:rFonts w:eastAsia="Times New Roman" w:cs="Times New Roman"/>
                <w:b/>
                <w:kern w:val="0"/>
                <w:sz w:val="24"/>
                <w:szCs w:val="24"/>
                <w:lang w:val="ru-RU" w:eastAsia="ru-RU" w:bidi="ar-SA"/>
              </w:rPr>
              <w:t>Требования к ответственности и гарантиям Субподрядчика</w:t>
            </w:r>
          </w:p>
        </w:tc>
        <w:tc>
          <w:tcPr>
            <w:tcW w:w="2658" w:type="dxa"/>
            <w:vMerge w:val="continue"/>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r>
          </w:p>
        </w:tc>
        <w:tc>
          <w:tcPr>
            <w:tcW w:w="2875" w:type="dxa"/>
            <w:vMerge w:val="continue"/>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r>
          </w:p>
        </w:tc>
      </w:tr>
      <w:tr>
        <w:trPr/>
        <w:tc>
          <w:tcPr>
            <w:tcW w:w="858" w:type="dxa"/>
            <w:tcBorders/>
            <w:vAlign w:val="center"/>
          </w:tcPr>
          <w:p>
            <w:pPr>
              <w:pStyle w:val="ListParagraph"/>
              <w:widowControl w:val="false"/>
              <w:numPr>
                <w:ilvl w:val="2"/>
                <w:numId w:val="8"/>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723" w:type="dxa"/>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Требования к устранению недостатков</w:t>
            </w:r>
          </w:p>
        </w:tc>
        <w:tc>
          <w:tcPr>
            <w:tcW w:w="6023" w:type="dxa"/>
            <w:tcBorders/>
          </w:tcPr>
          <w:p>
            <w:pPr>
              <w:pStyle w:val="Normal"/>
              <w:widowControl w:val="false"/>
              <w:suppressAutoHyphens w:val="true"/>
              <w:spacing w:before="0" w:after="0"/>
              <w:ind w:firstLine="175"/>
              <w:jc w:val="both"/>
              <w:rPr>
                <w:sz w:val="24"/>
                <w:szCs w:val="24"/>
              </w:rPr>
            </w:pPr>
            <w:r>
              <w:rPr>
                <w:rFonts w:eastAsia="Times New Roman" w:cs="Times New Roman"/>
                <w:iCs/>
                <w:kern w:val="0"/>
                <w:sz w:val="24"/>
                <w:szCs w:val="24"/>
                <w:lang w:val="ru-RU" w:eastAsia="ru-RU" w:bidi="ar-SA"/>
              </w:rPr>
              <w:t>В случае выявления недостатков, связанных с качеством монтажа, в обязанности Субподрядчика входит устранение выявленных недостатков в указанный Заказчиком срок, и повторная сдача результата работ Генподрядчику и Заказчику.</w:t>
            </w:r>
          </w:p>
        </w:tc>
        <w:tc>
          <w:tcPr>
            <w:tcW w:w="2658" w:type="dxa"/>
            <w:vMerge w:val="continue"/>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r>
          </w:p>
        </w:tc>
        <w:tc>
          <w:tcPr>
            <w:tcW w:w="2875" w:type="dxa"/>
            <w:vMerge w:val="continue"/>
            <w:tcBorders/>
          </w:tcPr>
          <w:p>
            <w:pPr>
              <w:pStyle w:val="Normal"/>
              <w:widowControl w:val="false"/>
              <w:tabs>
                <w:tab w:val="clear" w:pos="708"/>
                <w:tab w:val="left" w:pos="426" w:leader="none"/>
              </w:tabs>
              <w:suppressAutoHyphens w:val="true"/>
              <w:spacing w:before="40" w:after="0"/>
              <w:jc w:val="left"/>
              <w:rPr>
                <w:b/>
                <w:bCs/>
              </w:rPr>
            </w:pPr>
            <w:r>
              <w:rPr>
                <w:rFonts w:eastAsia="Times New Roman" w:cs="Times New Roman"/>
                <w:b/>
                <w:bCs/>
                <w:kern w:val="0"/>
                <w:lang w:val="ru-RU" w:eastAsia="ru-RU" w:bidi="ar-SA"/>
              </w:rPr>
            </w:r>
          </w:p>
        </w:tc>
      </w:tr>
      <w:tr>
        <w:trPr/>
        <w:tc>
          <w:tcPr>
            <w:tcW w:w="858" w:type="dxa"/>
            <w:tcBorders/>
            <w:vAlign w:val="center"/>
          </w:tcPr>
          <w:p>
            <w:pPr>
              <w:pStyle w:val="ListParagraph"/>
              <w:widowControl w:val="false"/>
              <w:numPr>
                <w:ilvl w:val="2"/>
                <w:numId w:val="8"/>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723" w:type="dxa"/>
            <w:tcBorders/>
          </w:tcPr>
          <w:p>
            <w:pPr>
              <w:pStyle w:val="Normal"/>
              <w:widowControl w:val="false"/>
              <w:suppressAutoHyphens w:val="true"/>
              <w:spacing w:before="40" w:after="0"/>
              <w:jc w:val="left"/>
              <w:rPr>
                <w:sz w:val="24"/>
                <w:szCs w:val="24"/>
              </w:rPr>
            </w:pPr>
            <w:r>
              <w:rPr>
                <w:rFonts w:eastAsia="Times New Roman" w:cs="Times New Roman"/>
                <w:kern w:val="0"/>
                <w:sz w:val="24"/>
                <w:szCs w:val="24"/>
                <w:lang w:val="ru-RU" w:eastAsia="ru-RU" w:bidi="ar-SA"/>
              </w:rPr>
              <w:t>Гарантийный срок на результат работ</w:t>
            </w:r>
          </w:p>
        </w:tc>
        <w:tc>
          <w:tcPr>
            <w:tcW w:w="6023" w:type="dxa"/>
            <w:tcBorders/>
          </w:tcPr>
          <w:p>
            <w:pPr>
              <w:pStyle w:val="Normal"/>
              <w:widowControl w:val="false"/>
              <w:suppressAutoHyphens w:val="true"/>
              <w:spacing w:before="0" w:after="0"/>
              <w:ind w:firstLine="175"/>
              <w:jc w:val="both"/>
              <w:rPr>
                <w:sz w:val="24"/>
                <w:szCs w:val="24"/>
              </w:rPr>
            </w:pPr>
            <w:r>
              <w:rPr>
                <w:rFonts w:eastAsia="Times New Roman" w:cs="Times New Roman"/>
                <w:iCs/>
                <w:kern w:val="0"/>
                <w:sz w:val="24"/>
                <w:szCs w:val="24"/>
                <w:lang w:val="ru-RU" w:eastAsia="ru-RU" w:bidi="ar-SA"/>
              </w:rPr>
              <w:t xml:space="preserve">Не менее 36 месяцев с даты подписания Сторонами </w:t>
            </w:r>
            <w:r>
              <w:rPr>
                <w:rFonts w:eastAsia="Times New Roman" w:cs="Times New Roman"/>
                <w:bCs/>
                <w:iCs/>
                <w:kern w:val="0"/>
                <w:sz w:val="24"/>
                <w:lang w:val="ru-RU" w:eastAsia="ru-RU" w:bidi="ar-SA"/>
              </w:rPr>
              <w:t>Актов о приемке выполненных работ (по форме КС-2) и Справки о стоимости выполненных работ и затрат (по форме КС-3) за весь объем выполненных Работ по соответствующему Объекту,</w:t>
            </w:r>
            <w:r>
              <w:rPr>
                <w:rFonts w:eastAsia="Times New Roman" w:cs="Times New Roman"/>
                <w:iCs/>
                <w:kern w:val="0"/>
                <w:sz w:val="24"/>
                <w:szCs w:val="24"/>
                <w:lang w:val="ru-RU" w:eastAsia="ru-RU" w:bidi="ar-SA"/>
              </w:rPr>
              <w:t xml:space="preserve"> либо с даты прекращения (расторжения) Договора.</w:t>
            </w:r>
          </w:p>
        </w:tc>
        <w:tc>
          <w:tcPr>
            <w:tcW w:w="2658" w:type="dxa"/>
            <w:vMerge w:val="continue"/>
            <w:tcBorders/>
          </w:tcPr>
          <w:p>
            <w:pPr>
              <w:pStyle w:val="Style27"/>
              <w:keepNext w:val="false"/>
              <w:widowControl w:val="false"/>
              <w:numPr>
                <w:ilvl w:val="0"/>
                <w:numId w:val="0"/>
              </w:numPr>
              <w:suppressAutoHyphens w:val="true"/>
              <w:spacing w:before="0" w:after="60"/>
              <w:jc w:val="left"/>
              <w:outlineLvl w:val="2"/>
              <w:rPr>
                <w:rFonts w:eastAsia="Times New Roman"/>
                <w:b w:val="false"/>
                <w:lang w:val="ru-RU" w:eastAsia="ru-RU"/>
              </w:rPr>
            </w:pPr>
            <w:r>
              <w:rPr>
                <w:rFonts w:eastAsia="Times New Roman" w:cs="Times New Roman"/>
                <w:b w:val="false"/>
                <w:kern w:val="0"/>
                <w:sz w:val="20"/>
                <w:szCs w:val="20"/>
                <w:lang w:val="ru-RU" w:eastAsia="ru-RU" w:bidi="ar-SA"/>
              </w:rPr>
            </w:r>
          </w:p>
        </w:tc>
        <w:tc>
          <w:tcPr>
            <w:tcW w:w="2875" w:type="dxa"/>
            <w:vMerge w:val="continue"/>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r>
          </w:p>
        </w:tc>
      </w:tr>
      <w:tr>
        <w:trPr/>
        <w:tc>
          <w:tcPr>
            <w:tcW w:w="858" w:type="dxa"/>
            <w:tcBorders/>
            <w:vAlign w:val="center"/>
          </w:tcPr>
          <w:p>
            <w:pPr>
              <w:pStyle w:val="ListParagraph"/>
              <w:widowControl w:val="false"/>
              <w:numPr>
                <w:ilvl w:val="0"/>
                <w:numId w:val="8"/>
              </w:numPr>
              <w:suppressAutoHyphens w:val="true"/>
              <w:spacing w:before="60" w:after="60"/>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746" w:type="dxa"/>
            <w:gridSpan w:val="2"/>
            <w:tcBorders/>
            <w:vAlign w:val="center"/>
          </w:tcPr>
          <w:p>
            <w:pPr>
              <w:pStyle w:val="Normal"/>
              <w:keepNext w:val="true"/>
              <w:widowControl w:val="false"/>
              <w:suppressAutoHyphens w:val="true"/>
              <w:spacing w:before="60" w:after="60"/>
              <w:jc w:val="both"/>
              <w:rPr>
                <w:b/>
                <w:sz w:val="24"/>
                <w:szCs w:val="24"/>
              </w:rPr>
            </w:pPr>
            <w:r>
              <w:rPr>
                <w:rFonts w:eastAsia="Times New Roman" w:cs="Times New Roman"/>
                <w:b/>
                <w:kern w:val="0"/>
                <w:sz w:val="24"/>
                <w:szCs w:val="24"/>
                <w:lang w:val="ru-RU" w:eastAsia="ru-RU" w:bidi="ar-SA"/>
              </w:rPr>
              <w:t>Требования к Субподрядчику и его обязательствам, влияющим на исполнение договора</w:t>
            </w:r>
          </w:p>
        </w:tc>
        <w:tc>
          <w:tcPr>
            <w:tcW w:w="2658" w:type="dxa"/>
            <w:vMerge w:val="continue"/>
            <w:tcBorders/>
          </w:tcPr>
          <w:p>
            <w:pPr>
              <w:pStyle w:val="Normal"/>
              <w:widowControl w:val="false"/>
              <w:suppressAutoHyphens w:val="true"/>
              <w:spacing w:before="0" w:after="0"/>
              <w:jc w:val="center"/>
              <w:rPr>
                <w:sz w:val="24"/>
                <w:szCs w:val="24"/>
              </w:rPr>
            </w:pPr>
            <w:r>
              <w:rPr>
                <w:rFonts w:eastAsia="Times New Roman" w:cs="Times New Roman"/>
                <w:kern w:val="0"/>
                <w:sz w:val="24"/>
                <w:szCs w:val="24"/>
                <w:lang w:val="ru-RU" w:eastAsia="ru-RU" w:bidi="ar-SA"/>
              </w:rPr>
            </w:r>
          </w:p>
        </w:tc>
        <w:tc>
          <w:tcPr>
            <w:tcW w:w="2875" w:type="dxa"/>
            <w:vMerge w:val="continue"/>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r>
          </w:p>
        </w:tc>
      </w:tr>
      <w:tr>
        <w:trPr/>
        <w:tc>
          <w:tcPr>
            <w:tcW w:w="858" w:type="dxa"/>
            <w:tcBorders/>
            <w:vAlign w:val="center"/>
          </w:tcPr>
          <w:p>
            <w:pPr>
              <w:pStyle w:val="ListParagraph"/>
              <w:widowControl w:val="false"/>
              <w:numPr>
                <w:ilvl w:val="2"/>
                <w:numId w:val="8"/>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723" w:type="dxa"/>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Иные требования, влияющие на исполнение договора</w:t>
            </w:r>
          </w:p>
        </w:tc>
        <w:tc>
          <w:tcPr>
            <w:tcW w:w="6023" w:type="dxa"/>
            <w:tcBorders/>
          </w:tcPr>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В обязанности Субподрядчика входит:</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определение и согласование с Заказчиком мест подключения временных коммуникаций (технические условия на подключения выдаются после получения от Субподрядчика официального запроса с указанием потребности в ресурсах в количественных и качественных показателях);</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разработка технологических карт на погрузо-разгрузочные работы и согласование их с Генподрядчиком и Заказчиком;</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обеспечение погрузо-разгрузочных работ и работ по перемещению материалов по территории Заказчика;</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обеспечение условий хранения оборудования и материалов, поставляемых Субподрядчиком, уборку подъездных путей к площадкам складирования;</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участие в технических совещаниях (с участием представителей Генподрядчика и Заказчика, Субподрядчика и организации, осуществляющей авторский надзор) по вопросам хода исполнения работ по договору.</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инженерная подготовка и оборудование рабочей площадки (устройство сетей энергоснабжения, вентиляции, защита имущества Генподрядчика и Заказчика от строительной пыли и других воздействий), монтаж ограждений, переходов, лестниц и площадок.;</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закупка и доставка оборудования, материалов и изделий на место выполнения работ;</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обеспечение (при необходимости) услуг аккредитованной лаборатории по оценке качества работ или договора со специализированной организацией на выполнение работ по оценке качества продукции;</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ведение экологического надзора за выполнением работ согласно требованиям Рабочей документации, утвержденной Заказчиком;</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 разработка и согласование программ пуско-наладочных работ;</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-подготовка объекта к сдаче-приемке: демонтаж временных сетей, бытовых и подсобных помещений, разборка ограждений, вывоз с территории оборудования, инструмента, строительных отходов, уборка объекта.</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Субподрядчик своими силами осуществляет транспортирование оборудования от места хранения к месту выполнения работ. Затраты на погрузку/разгрузку и перемещение по территории станции оборудования лежат на Субподрядчике.</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Погрузка/разгрузка осуществляется силами Субподрядчика и с использованием собственных грузоподъемных механизмов, средств, стропальщиков, операторов (машинистов) подъёмных сооружений, специалистов, ответственных за безопасное выполнение работ подъёмными сооружениями.</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Субподрядчик обеспечивает присутствие на площадке поставки на территории Новосибирской ГЭС своего ответственного представителя (с оформленной доверенностью) и оформление актов входного контроля и журнала входного контроля (с присутствием представителя Генподрядчика и Заказчика) при поставке оборудования и материалов для выполнения СМР.</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По согласованию с Заказчиком Субподрядчиком своими силами на территории Новосибирской ГЭС могут быть организованы дополнительные площадки для хранения оборудования и материалов.</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Демонтированное оборудование размещается в места, указанные Заказчиком по видам отходов: черный металл, цветной металл, кабелей по типу и сечению жил.</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Субподрядчик за свой счет организует подготовку к утилизации демонтированного оборудования (под подготовкой к утилизации понимается разборка демонтированного оборудования и сортировка по видам отходов)</w:t>
            </w:r>
          </w:p>
          <w:p>
            <w:pPr>
              <w:pStyle w:val="Normal"/>
              <w:widowControl w:val="false"/>
              <w:suppressAutoHyphens w:val="true"/>
              <w:spacing w:before="0" w:after="0"/>
              <w:ind w:firstLine="175"/>
              <w:jc w:val="both"/>
              <w:rPr>
                <w:sz w:val="24"/>
                <w:szCs w:val="24"/>
              </w:rPr>
            </w:pPr>
            <w:r>
              <w:rPr>
                <w:rFonts w:eastAsia="Times New Roman" w:cs="Times New Roman"/>
                <w:kern w:val="0"/>
                <w:sz w:val="24"/>
                <w:szCs w:val="24"/>
                <w:lang w:val="ru-RU" w:eastAsia="ru-RU" w:bidi="ar-SA"/>
              </w:rPr>
              <w:t>Слив технических жидкостей, сброс отходов в канализацию или на грунт, а также в водные объекты запрещается.</w:t>
            </w:r>
          </w:p>
        </w:tc>
        <w:tc>
          <w:tcPr>
            <w:tcW w:w="2658" w:type="dxa"/>
            <w:vMerge w:val="continue"/>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r>
          </w:p>
        </w:tc>
        <w:tc>
          <w:tcPr>
            <w:tcW w:w="2875" w:type="dxa"/>
            <w:vMerge w:val="continue"/>
            <w:tcBorders/>
          </w:tcPr>
          <w:p>
            <w:pPr>
              <w:pStyle w:val="Style27"/>
              <w:keepNext w:val="false"/>
              <w:widowControl w:val="false"/>
              <w:numPr>
                <w:ilvl w:val="0"/>
                <w:numId w:val="0"/>
              </w:numPr>
              <w:suppressAutoHyphens w:val="true"/>
              <w:spacing w:before="0" w:after="60"/>
              <w:jc w:val="left"/>
              <w:outlineLvl w:val="2"/>
              <w:rPr>
                <w:lang w:val="ru-RU"/>
              </w:rPr>
            </w:pPr>
            <w:r>
              <w:rPr>
                <w:rFonts w:eastAsia="Times New Roman" w:cs="Times New Roman"/>
                <w:kern w:val="0"/>
                <w:sz w:val="20"/>
                <w:szCs w:val="20"/>
                <w:lang w:val="ru-RU" w:eastAsia="ru-RU" w:bidi="ar-SA"/>
              </w:rPr>
            </w:r>
          </w:p>
        </w:tc>
      </w:tr>
      <w:tr>
        <w:trPr/>
        <w:tc>
          <w:tcPr>
            <w:tcW w:w="858" w:type="dxa"/>
            <w:tcBorders/>
            <w:vAlign w:val="center"/>
          </w:tcPr>
          <w:p>
            <w:pPr>
              <w:pStyle w:val="ListParagraph"/>
              <w:widowControl w:val="false"/>
              <w:numPr>
                <w:ilvl w:val="0"/>
                <w:numId w:val="8"/>
              </w:numPr>
              <w:suppressAutoHyphens w:val="true"/>
              <w:spacing w:before="60" w:after="60"/>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746" w:type="dxa"/>
            <w:gridSpan w:val="2"/>
            <w:tcBorders/>
            <w:vAlign w:val="center"/>
          </w:tcPr>
          <w:p>
            <w:pPr>
              <w:pStyle w:val="Normal"/>
              <w:widowControl w:val="false"/>
              <w:suppressAutoHyphens w:val="true"/>
              <w:spacing w:before="60" w:after="60"/>
              <w:jc w:val="left"/>
              <w:rPr>
                <w:b/>
                <w:sz w:val="24"/>
                <w:szCs w:val="24"/>
              </w:rPr>
            </w:pPr>
            <w:r>
              <w:rPr>
                <w:rFonts w:eastAsia="Times New Roman" w:cs="Times New Roman"/>
                <w:b/>
                <w:kern w:val="0"/>
                <w:sz w:val="24"/>
                <w:szCs w:val="24"/>
                <w:lang w:val="ru-RU" w:eastAsia="ru-RU" w:bidi="ar-SA"/>
              </w:rPr>
              <w:t>Прочие требования к выполняемым работам</w:t>
            </w:r>
          </w:p>
        </w:tc>
        <w:tc>
          <w:tcPr>
            <w:tcW w:w="2658" w:type="dxa"/>
            <w:vMerge w:val="continue"/>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r>
          </w:p>
        </w:tc>
        <w:tc>
          <w:tcPr>
            <w:tcW w:w="2875" w:type="dxa"/>
            <w:vMerge w:val="continue"/>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r>
          </w:p>
        </w:tc>
      </w:tr>
      <w:tr>
        <w:trPr/>
        <w:tc>
          <w:tcPr>
            <w:tcW w:w="858" w:type="dxa"/>
            <w:tcBorders/>
            <w:vAlign w:val="center"/>
          </w:tcPr>
          <w:p>
            <w:pPr>
              <w:pStyle w:val="ListParagraph"/>
              <w:widowControl w:val="false"/>
              <w:numPr>
                <w:ilvl w:val="1"/>
                <w:numId w:val="8"/>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723" w:type="dxa"/>
            <w:tcBorders/>
            <w:vAlign w:val="center"/>
          </w:tcPr>
          <w:p>
            <w:pPr>
              <w:pStyle w:val="Style27"/>
              <w:keepNext w:val="false"/>
              <w:widowControl w:val="false"/>
              <w:numPr>
                <w:ilvl w:val="0"/>
                <w:numId w:val="0"/>
              </w:numPr>
              <w:suppressAutoHyphens w:val="true"/>
              <w:spacing w:before="0" w:after="60"/>
              <w:jc w:val="left"/>
              <w:outlineLvl w:val="2"/>
              <w:rPr>
                <w:rFonts w:ascii="Times New Roman" w:hAnsi="Times New Roman" w:cs="Times New Roman"/>
                <w:kern w:val="0"/>
                <w:sz w:val="20"/>
                <w:szCs w:val="20"/>
                <w:lang w:bidi="ar-SA"/>
              </w:rPr>
            </w:pPr>
            <w:bookmarkStart w:id="40" w:name="_Toc221016977"/>
            <w:bookmarkStart w:id="41" w:name="_Toc221016312"/>
            <w:bookmarkStart w:id="42" w:name="_Toc221016020"/>
            <w:bookmarkStart w:id="43" w:name="_Toc221016524"/>
            <w:bookmarkStart w:id="44" w:name="_Toc212109731"/>
            <w:r>
              <w:rPr>
                <w:rFonts w:eastAsia="Times New Roman" w:cs="Times New Roman"/>
                <w:b w:val="false"/>
                <w:kern w:val="0"/>
                <w:sz w:val="20"/>
                <w:szCs w:val="20"/>
                <w:lang w:val="ru-RU" w:eastAsia="ru-RU" w:bidi="ar-SA"/>
              </w:rPr>
              <w:t>Прочие требования</w:t>
            </w:r>
            <w:bookmarkEnd w:id="40"/>
            <w:bookmarkEnd w:id="41"/>
            <w:bookmarkEnd w:id="42"/>
            <w:bookmarkEnd w:id="43"/>
            <w:bookmarkEnd w:id="44"/>
          </w:p>
        </w:tc>
        <w:tc>
          <w:tcPr>
            <w:tcW w:w="6023" w:type="dxa"/>
            <w:tcBorders/>
            <w:vAlign w:val="center"/>
          </w:tcPr>
          <w:p>
            <w:pPr>
              <w:pStyle w:val="Style27"/>
              <w:widowControl w:val="false"/>
              <w:numPr>
                <w:ilvl w:val="0"/>
                <w:numId w:val="0"/>
              </w:numPr>
              <w:suppressAutoHyphens w:val="true"/>
              <w:spacing w:before="0" w:after="60"/>
              <w:ind w:firstLine="175"/>
              <w:jc w:val="both"/>
              <w:outlineLvl w:val="2"/>
              <w:rPr>
                <w:rFonts w:ascii="Times New Roman" w:hAnsi="Times New Roman" w:cs="Times New Roman"/>
                <w:kern w:val="0"/>
                <w:sz w:val="20"/>
                <w:szCs w:val="20"/>
                <w:lang w:bidi="ar-SA"/>
              </w:rPr>
            </w:pPr>
            <w:bookmarkStart w:id="45" w:name="_Toc212109732"/>
            <w:bookmarkStart w:id="46" w:name="_Toc221016021"/>
            <w:bookmarkStart w:id="47" w:name="_Toc221016313"/>
            <w:bookmarkStart w:id="48" w:name="_Toc221016525"/>
            <w:bookmarkStart w:id="49" w:name="_Toc221016978"/>
            <w:r>
              <w:rPr>
                <w:rFonts w:eastAsia="Times New Roman" w:cs="Times New Roman"/>
                <w:b w:val="false"/>
                <w:kern w:val="0"/>
                <w:sz w:val="20"/>
                <w:szCs w:val="20"/>
                <w:lang w:val="ru-RU" w:eastAsia="ru-RU" w:bidi="ar-SA"/>
              </w:rPr>
              <w:t>Работы выполняются «под ключ» – т.е. в таком объеме, который позволяет начать эксплуатацию системы вентиляции без выполнения дополнительных работ.</w:t>
            </w:r>
            <w:bookmarkEnd w:id="45"/>
            <w:bookmarkEnd w:id="46"/>
            <w:bookmarkEnd w:id="47"/>
            <w:bookmarkEnd w:id="48"/>
            <w:bookmarkEnd w:id="49"/>
          </w:p>
          <w:p>
            <w:pPr>
              <w:pStyle w:val="Style27"/>
              <w:widowControl w:val="false"/>
              <w:numPr>
                <w:ilvl w:val="0"/>
                <w:numId w:val="0"/>
              </w:numPr>
              <w:suppressAutoHyphens w:val="true"/>
              <w:spacing w:before="0" w:after="60"/>
              <w:ind w:firstLine="175"/>
              <w:jc w:val="both"/>
              <w:outlineLvl w:val="2"/>
              <w:rPr>
                <w:rFonts w:ascii="Times New Roman" w:hAnsi="Times New Roman" w:cs="Times New Roman"/>
                <w:kern w:val="0"/>
                <w:sz w:val="20"/>
                <w:szCs w:val="20"/>
                <w:lang w:bidi="ar-SA"/>
              </w:rPr>
            </w:pPr>
            <w:bookmarkStart w:id="50" w:name="_Toc221016022"/>
            <w:bookmarkStart w:id="51" w:name="_Toc221016314"/>
            <w:bookmarkStart w:id="52" w:name="_Toc221016526"/>
            <w:bookmarkStart w:id="53" w:name="_Toc212109734"/>
            <w:bookmarkStart w:id="54" w:name="_Toc221016979"/>
            <w:r>
              <w:rPr>
                <w:rFonts w:eastAsia="Times New Roman" w:cs="Times New Roman"/>
                <w:b w:val="false"/>
                <w:kern w:val="0"/>
                <w:sz w:val="20"/>
                <w:szCs w:val="20"/>
                <w:lang w:val="ru-RU" w:eastAsia="ru-RU" w:bidi="ar-SA"/>
              </w:rPr>
              <w:t>Уведомление Генподрядчика и Заказчика о приемке технологических операций, этапов работ за 2 (два) рабочих дня до даты приемки.</w:t>
            </w:r>
            <w:bookmarkEnd w:id="50"/>
            <w:bookmarkEnd w:id="51"/>
            <w:bookmarkEnd w:id="52"/>
            <w:bookmarkEnd w:id="53"/>
            <w:bookmarkEnd w:id="54"/>
          </w:p>
          <w:p>
            <w:pPr>
              <w:pStyle w:val="Style27"/>
              <w:keepNext w:val="false"/>
              <w:widowControl w:val="false"/>
              <w:numPr>
                <w:ilvl w:val="0"/>
                <w:numId w:val="0"/>
              </w:numPr>
              <w:suppressAutoHyphens w:val="true"/>
              <w:spacing w:before="0" w:after="60"/>
              <w:ind w:firstLine="175"/>
              <w:jc w:val="both"/>
              <w:outlineLvl w:val="2"/>
              <w:rPr>
                <w:rFonts w:ascii="Times New Roman" w:hAnsi="Times New Roman" w:cs="Times New Roman"/>
                <w:kern w:val="0"/>
                <w:sz w:val="20"/>
                <w:szCs w:val="20"/>
                <w:lang w:bidi="ar-SA"/>
              </w:rPr>
            </w:pPr>
            <w:bookmarkStart w:id="55" w:name="_Toc212109735"/>
            <w:bookmarkStart w:id="56" w:name="_Toc221016527"/>
            <w:bookmarkStart w:id="57" w:name="_Toc221016980"/>
            <w:bookmarkStart w:id="58" w:name="_Toc221016315"/>
            <w:bookmarkStart w:id="59" w:name="_Toc221016023"/>
            <w:r>
              <w:rPr>
                <w:rFonts w:eastAsia="Times New Roman" w:cs="Times New Roman"/>
                <w:b w:val="false"/>
                <w:kern w:val="0"/>
                <w:sz w:val="20"/>
                <w:szCs w:val="20"/>
                <w:lang w:val="ru-RU" w:eastAsia="ru-RU" w:bidi="ar-SA"/>
              </w:rPr>
              <w:t>Уведомление о приемке скрытых работ должно быть получено Генподрядчиком и Заказчиком заблаговременно, но не позднее, чем за 2 (два) рабочих дня до начала приемки.</w:t>
            </w:r>
            <w:bookmarkEnd w:id="55"/>
            <w:bookmarkEnd w:id="56"/>
            <w:bookmarkEnd w:id="57"/>
            <w:bookmarkEnd w:id="58"/>
            <w:bookmarkEnd w:id="59"/>
          </w:p>
        </w:tc>
        <w:tc>
          <w:tcPr>
            <w:tcW w:w="2658" w:type="dxa"/>
            <w:vMerge w:val="continue"/>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r>
          </w:p>
        </w:tc>
        <w:tc>
          <w:tcPr>
            <w:tcW w:w="2875" w:type="dxa"/>
            <w:vMerge w:val="continue"/>
            <w:tcBorders/>
          </w:tcPr>
          <w:p>
            <w:pPr>
              <w:pStyle w:val="Style27"/>
              <w:keepNext w:val="false"/>
              <w:widowControl w:val="false"/>
              <w:numPr>
                <w:ilvl w:val="0"/>
                <w:numId w:val="0"/>
              </w:numPr>
              <w:suppressAutoHyphens w:val="true"/>
              <w:spacing w:before="0" w:after="60"/>
              <w:jc w:val="left"/>
              <w:outlineLvl w:val="2"/>
              <w:rPr>
                <w:rFonts w:eastAsia="Times New Roman"/>
                <w:lang w:val="ru-RU" w:eastAsia="ru-RU"/>
              </w:rPr>
            </w:pPr>
            <w:r>
              <w:rPr>
                <w:rFonts w:eastAsia="Times New Roman" w:cs="Times New Roman"/>
                <w:kern w:val="0"/>
                <w:sz w:val="20"/>
                <w:szCs w:val="20"/>
                <w:lang w:val="ru-RU" w:eastAsia="ru-RU" w:bidi="ar-SA"/>
              </w:rPr>
            </w:r>
          </w:p>
        </w:tc>
      </w:tr>
      <w:tr>
        <w:trPr/>
        <w:tc>
          <w:tcPr>
            <w:tcW w:w="858" w:type="dxa"/>
            <w:tcBorders/>
            <w:vAlign w:val="center"/>
          </w:tcPr>
          <w:p>
            <w:pPr>
              <w:pStyle w:val="ListParagraph"/>
              <w:widowControl w:val="false"/>
              <w:numPr>
                <w:ilvl w:val="0"/>
                <w:numId w:val="8"/>
              </w:numPr>
              <w:suppressAutoHyphens w:val="true"/>
              <w:spacing w:before="60" w:after="60"/>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746" w:type="dxa"/>
            <w:gridSpan w:val="2"/>
            <w:tcBorders/>
            <w:vAlign w:val="center"/>
          </w:tcPr>
          <w:p>
            <w:pPr>
              <w:pStyle w:val="Normal"/>
              <w:widowControl w:val="false"/>
              <w:suppressAutoHyphens w:val="true"/>
              <w:spacing w:before="60" w:after="60"/>
              <w:jc w:val="left"/>
              <w:rPr>
                <w:sz w:val="24"/>
                <w:szCs w:val="24"/>
              </w:rPr>
            </w:pPr>
            <w:r>
              <w:rPr>
                <w:rFonts w:eastAsia="Times New Roman" w:cs="Times New Roman"/>
                <w:b/>
                <w:kern w:val="0"/>
                <w:sz w:val="24"/>
                <w:szCs w:val="24"/>
                <w:lang w:val="ru-RU" w:eastAsia="ru-RU" w:bidi="ar-SA"/>
              </w:rPr>
              <w:t xml:space="preserve">Прочие требования к </w:t>
            </w:r>
            <w:r>
              <w:rPr>
                <w:rFonts w:eastAsia="Times New Roman" w:cs="Times New Roman"/>
                <w:b/>
                <w:kern w:val="0"/>
                <w:sz w:val="24"/>
                <w:szCs w:val="24"/>
                <w:lang w:val="en-US" w:eastAsia="ru-RU" w:bidi="ar-SA"/>
              </w:rPr>
              <w:t>документации</w:t>
            </w:r>
          </w:p>
        </w:tc>
        <w:tc>
          <w:tcPr>
            <w:tcW w:w="2658" w:type="dxa"/>
            <w:vMerge w:val="continue"/>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r>
          </w:p>
        </w:tc>
        <w:tc>
          <w:tcPr>
            <w:tcW w:w="2875" w:type="dxa"/>
            <w:vMerge w:val="continue"/>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r>
          </w:p>
        </w:tc>
      </w:tr>
      <w:tr>
        <w:trPr/>
        <w:tc>
          <w:tcPr>
            <w:tcW w:w="858" w:type="dxa"/>
            <w:tcBorders/>
            <w:vAlign w:val="center"/>
          </w:tcPr>
          <w:p>
            <w:pPr>
              <w:pStyle w:val="ListParagraph"/>
              <w:widowControl w:val="false"/>
              <w:numPr>
                <w:ilvl w:val="1"/>
                <w:numId w:val="8"/>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723" w:type="dxa"/>
            <w:tcBorders/>
            <w:vAlign w:val="center"/>
          </w:tcPr>
          <w:p>
            <w:pPr>
              <w:pStyle w:val="Style27"/>
              <w:keepNext w:val="false"/>
              <w:widowControl w:val="false"/>
              <w:numPr>
                <w:ilvl w:val="0"/>
                <w:numId w:val="0"/>
              </w:numPr>
              <w:suppressAutoHyphens w:val="true"/>
              <w:spacing w:before="0" w:after="60"/>
              <w:jc w:val="left"/>
              <w:outlineLvl w:val="2"/>
              <w:rPr>
                <w:rFonts w:ascii="Times New Roman" w:hAnsi="Times New Roman" w:cs="Times New Roman"/>
                <w:kern w:val="0"/>
                <w:sz w:val="20"/>
                <w:szCs w:val="20"/>
                <w:lang w:bidi="ar-SA"/>
              </w:rPr>
            </w:pPr>
            <w:bookmarkStart w:id="60" w:name="_Toc221016024"/>
            <w:bookmarkStart w:id="61" w:name="_Toc221016528"/>
            <w:bookmarkStart w:id="62" w:name="_Toc221016316"/>
            <w:bookmarkStart w:id="63" w:name="_Toc221016981"/>
            <w:r>
              <w:rPr>
                <w:rFonts w:eastAsia="Times New Roman" w:cs="Times New Roman"/>
                <w:b w:val="false"/>
                <w:kern w:val="0"/>
                <w:sz w:val="20"/>
                <w:szCs w:val="20"/>
                <w:lang w:val="ru-RU" w:eastAsia="ru-RU" w:bidi="ar-SA"/>
              </w:rPr>
              <w:t>Прочие требования</w:t>
            </w:r>
            <w:bookmarkEnd w:id="60"/>
            <w:bookmarkEnd w:id="61"/>
            <w:bookmarkEnd w:id="62"/>
            <w:bookmarkEnd w:id="63"/>
          </w:p>
        </w:tc>
        <w:tc>
          <w:tcPr>
            <w:tcW w:w="6023" w:type="dxa"/>
            <w:tcBorders/>
            <w:vAlign w:val="center"/>
          </w:tcPr>
          <w:p>
            <w:pPr>
              <w:pStyle w:val="Style27"/>
              <w:widowControl w:val="false"/>
              <w:numPr>
                <w:ilvl w:val="0"/>
                <w:numId w:val="0"/>
              </w:numPr>
              <w:suppressAutoHyphens w:val="true"/>
              <w:spacing w:before="0" w:after="60"/>
              <w:ind w:firstLine="175"/>
              <w:jc w:val="both"/>
              <w:outlineLvl w:val="2"/>
              <w:rPr>
                <w:rFonts w:ascii="Times New Roman" w:hAnsi="Times New Roman" w:cs="Times New Roman"/>
                <w:kern w:val="0"/>
                <w:sz w:val="20"/>
                <w:szCs w:val="20"/>
                <w:lang w:bidi="ar-SA"/>
              </w:rPr>
            </w:pPr>
            <w:bookmarkStart w:id="64" w:name="_Toc221016983"/>
            <w:bookmarkStart w:id="65" w:name="_Toc221016530"/>
            <w:bookmarkStart w:id="66" w:name="_Toc221016026"/>
            <w:bookmarkStart w:id="67" w:name="_Toc221016318"/>
            <w:r>
              <w:rPr>
                <w:rFonts w:eastAsia="Times New Roman" w:cs="Times New Roman"/>
                <w:b w:val="false"/>
                <w:kern w:val="0"/>
                <w:sz w:val="20"/>
                <w:szCs w:val="20"/>
                <w:lang w:val="ru-RU" w:eastAsia="ru-RU" w:bidi="ar-SA"/>
              </w:rPr>
              <w:t>Взаимодействие Субподрядчика и Заказчика производиться посредством почты, электронной почты, очными и заочными совещаниями (в т. ч. селекторными)</w:t>
            </w:r>
            <w:bookmarkEnd w:id="64"/>
            <w:bookmarkEnd w:id="65"/>
            <w:bookmarkEnd w:id="66"/>
            <w:bookmarkEnd w:id="67"/>
            <w:r>
              <w:rPr>
                <w:rFonts w:eastAsia="Times New Roman" w:cs="Times New Roman"/>
                <w:b w:val="false"/>
                <w:kern w:val="0"/>
                <w:sz w:val="20"/>
                <w:szCs w:val="20"/>
                <w:lang w:val="ru-RU" w:eastAsia="ru-RU" w:bidi="ar-SA"/>
              </w:rPr>
              <w:t>.</w:t>
            </w:r>
          </w:p>
        </w:tc>
        <w:tc>
          <w:tcPr>
            <w:tcW w:w="2658" w:type="dxa"/>
            <w:vMerge w:val="continue"/>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r>
          </w:p>
        </w:tc>
        <w:tc>
          <w:tcPr>
            <w:tcW w:w="2875" w:type="dxa"/>
            <w:vMerge w:val="continue"/>
            <w:tcBorders/>
          </w:tcPr>
          <w:p>
            <w:pPr>
              <w:pStyle w:val="Style27"/>
              <w:keepNext w:val="false"/>
              <w:widowControl w:val="false"/>
              <w:numPr>
                <w:ilvl w:val="0"/>
                <w:numId w:val="0"/>
              </w:numPr>
              <w:suppressAutoHyphens w:val="true"/>
              <w:spacing w:before="0" w:after="60"/>
              <w:jc w:val="left"/>
              <w:outlineLvl w:val="2"/>
              <w:rPr>
                <w:rFonts w:eastAsia="Times New Roman"/>
                <w:lang w:val="ru-RU" w:eastAsia="ru-RU"/>
              </w:rPr>
            </w:pPr>
            <w:r>
              <w:rPr>
                <w:rFonts w:eastAsia="Times New Roman" w:cs="Times New Roman"/>
                <w:kern w:val="0"/>
                <w:sz w:val="20"/>
                <w:szCs w:val="20"/>
                <w:lang w:val="ru-RU" w:eastAsia="ru-RU" w:bidi="ar-SA"/>
              </w:rPr>
            </w:r>
          </w:p>
        </w:tc>
      </w:tr>
    </w:tbl>
    <w:p>
      <w:pPr>
        <w:sectPr>
          <w:headerReference w:type="default" r:id="rId7"/>
          <w:headerReference w:type="first" r:id="rId8"/>
          <w:type w:val="nextPage"/>
          <w:pgSz w:orient="landscape" w:w="16838" w:h="11906"/>
          <w:pgMar w:left="992" w:right="567" w:gutter="0" w:header="680" w:top="851" w:footer="0" w:bottom="851"/>
          <w:pgNumType w:fmt="decimal"/>
          <w:formProt w:val="false"/>
          <w:titlePg/>
          <w:textDirection w:val="lrTb"/>
          <w:docGrid w:type="default" w:linePitch="381" w:charSpace="0"/>
        </w:sectPr>
      </w:pPr>
    </w:p>
    <w:p>
      <w:pPr>
        <w:pStyle w:val="Heading1"/>
        <w:numPr>
          <w:ilvl w:val="0"/>
          <w:numId w:val="3"/>
        </w:numPr>
        <w:ind w:left="284" w:hanging="283"/>
        <w:jc w:val="center"/>
        <w:rPr/>
      </w:pPr>
      <w:bookmarkStart w:id="68" w:name="_Toc221016984"/>
      <w:bookmarkStart w:id="69" w:name="_Toc54970193"/>
      <w:bookmarkStart w:id="70" w:name="_Toc54646412"/>
      <w:r>
        <w:rPr/>
        <w:t xml:space="preserve">Требования к документации по ценообразованию на этапе </w:t>
      </w:r>
      <w:bookmarkEnd w:id="69"/>
      <w:bookmarkEnd w:id="70"/>
      <w:r>
        <w:rPr/>
        <w:t>закупки</w:t>
      </w:r>
      <w:bookmarkEnd w:id="68"/>
    </w:p>
    <w:p>
      <w:pPr>
        <w:pStyle w:val="ListParagraph"/>
        <w:spacing w:before="80" w:after="0"/>
        <w:ind w:left="0" w:hanging="0"/>
        <w:contextualSpacing/>
        <w:jc w:val="both"/>
        <w:rPr/>
      </w:pPr>
      <w:r>
        <w:rPr>
          <w:rFonts w:eastAsia="MS PGothic"/>
          <w:lang w:eastAsia="ja-JP"/>
        </w:rPr>
        <w:t xml:space="preserve">3.1. </w:t>
      </w:r>
      <w:r>
        <w:rPr>
          <w:iCs/>
        </w:rPr>
        <w:t xml:space="preserve">В обоснование стоимости своей заявки Участник предоставляет Коммерческое предложение по форме (с учетом прилагаемой к ней инструкции по заполнению), приведенной в </w:t>
      </w:r>
      <w:r>
        <w:rPr>
          <w:rFonts w:eastAsia="MS PGothic"/>
          <w:lang w:eastAsia="ja-JP"/>
        </w:rPr>
        <w:t>Документации о закупке.</w:t>
      </w:r>
    </w:p>
    <w:p>
      <w:pPr>
        <w:pStyle w:val="ListParagraph"/>
        <w:spacing w:before="80" w:after="0"/>
        <w:ind w:left="0" w:hanging="0"/>
        <w:contextualSpacing/>
        <w:jc w:val="both"/>
        <w:rPr/>
      </w:pPr>
      <w:r>
        <w:rPr>
          <w:rFonts w:eastAsia="MS PGothic"/>
          <w:lang w:eastAsia="ja-JP"/>
        </w:rPr>
        <w:t>3.2.  Дополнительные документы по ценообразованию (сметная документация) в состав заявки Участника не включаются.</w:t>
      </w:r>
    </w:p>
    <w:p>
      <w:pPr>
        <w:pStyle w:val="ListParagraph"/>
        <w:spacing w:before="80" w:after="0"/>
        <w:ind w:left="0" w:hanging="0"/>
        <w:contextualSpacing/>
        <w:jc w:val="both"/>
        <w:rPr/>
      </w:pPr>
      <w:r>
        <w:rPr/>
      </w:r>
    </w:p>
    <w:p>
      <w:pPr>
        <w:pStyle w:val="Normal"/>
        <w:jc w:val="both"/>
        <w:rPr>
          <w:sz w:val="24"/>
          <w:szCs w:val="24"/>
          <w:lang w:eastAsia="x-none"/>
        </w:rPr>
      </w:pPr>
      <w:r>
        <w:rPr>
          <w:sz w:val="24"/>
          <w:szCs w:val="24"/>
          <w:lang w:eastAsia="x-none"/>
        </w:rPr>
      </w:r>
    </w:p>
    <w:p>
      <w:pPr>
        <w:pStyle w:val="Heading1"/>
        <w:numPr>
          <w:ilvl w:val="0"/>
          <w:numId w:val="3"/>
        </w:numPr>
        <w:ind w:left="284" w:hanging="283"/>
        <w:jc w:val="center"/>
        <w:rPr/>
      </w:pPr>
      <w:bookmarkStart w:id="71" w:name="_Toc221016985"/>
      <w:r>
        <w:rPr/>
        <w:t>Требования к документации по ценообразованию на этапе заключения договора</w:t>
      </w:r>
      <w:bookmarkEnd w:id="71"/>
    </w:p>
    <w:p>
      <w:pPr>
        <w:pStyle w:val="Heading4"/>
        <w:numPr>
          <w:ilvl w:val="0"/>
        </w:numPr>
        <w:tabs>
          <w:tab w:val="clear" w:pos="0"/>
          <w:tab w:val="left" w:pos="993" w:leader="none"/>
        </w:tabs>
        <w:spacing w:before="0" w:after="0"/>
        <w:ind w:left="284" w:hanging="0"/>
        <w:jc w:val="both"/>
        <w:rPr>
          <w:bCs w:val="false"/>
          <w:i/>
          <w:i/>
        </w:rPr>
      </w:pPr>
      <w:r>
        <w:rPr>
          <w:bCs w:val="false"/>
          <w:i/>
        </w:rPr>
      </w:r>
    </w:p>
    <w:p>
      <w:pPr>
        <w:pStyle w:val="Normal"/>
        <w:jc w:val="both"/>
        <w:rPr>
          <w:rFonts w:eastAsia="Calibri"/>
          <w:iCs/>
          <w:sz w:val="24"/>
          <w:szCs w:val="24"/>
          <w:lang w:eastAsia="x-none"/>
        </w:rPr>
      </w:pPr>
      <w:r>
        <w:rPr>
          <w:rFonts w:eastAsia="Calibri"/>
          <w:iCs/>
          <w:sz w:val="24"/>
          <w:szCs w:val="24"/>
          <w:lang w:eastAsia="x-none"/>
        </w:rPr>
        <w:t>4.1. По результатам настоящей закупки заключается договор с предельной ценой. Сметная документация предоставляется Генподрядчиком Субподрядчику в составе пакета закупочной документации.</w:t>
      </w:r>
    </w:p>
    <w:p>
      <w:pPr>
        <w:pStyle w:val="Normal"/>
        <w:jc w:val="both"/>
        <w:rPr>
          <w:rFonts w:eastAsia="Calibri"/>
          <w:iCs/>
          <w:sz w:val="24"/>
          <w:szCs w:val="24"/>
          <w:lang w:eastAsia="x-none"/>
        </w:rPr>
      </w:pPr>
      <w:r>
        <w:rPr>
          <w:rFonts w:eastAsia="Calibri"/>
          <w:iCs/>
          <w:sz w:val="24"/>
          <w:szCs w:val="24"/>
          <w:lang w:eastAsia="x-none"/>
        </w:rPr>
        <w:t>4.1.1.</w:t>
        <w:tab/>
        <w:t xml:space="preserve">Сметная документация разработана Генподрядчиком в рамках определения начальной (максимальной) цены договора в соответствии с требованиями, указанными в приложении №7 к настоящим Техническим требованиям, и включается в состав договора с применением понижающего коэффициента, указанного в заявке Участника, с которым принято решение заключить договор. Понижающий коэффициент начисляется в локальных сметах единым индексом в итогах (после начисления лимитированных затрат в случае составления одной сметы). </w:t>
      </w:r>
    </w:p>
    <w:p>
      <w:pPr>
        <w:pStyle w:val="Heading4"/>
        <w:numPr>
          <w:ilvl w:val="0"/>
        </w:numPr>
        <w:tabs>
          <w:tab w:val="clear" w:pos="0"/>
          <w:tab w:val="left" w:pos="993" w:leader="none"/>
        </w:tabs>
        <w:spacing w:before="0" w:after="0"/>
        <w:ind w:left="0" w:hanging="0"/>
        <w:jc w:val="both"/>
        <w:rPr>
          <w:b w:val="false"/>
          <w:bCs w:val="false"/>
        </w:rPr>
      </w:pPr>
      <w:r>
        <w:rPr>
          <w:b w:val="false"/>
          <w:bCs w:val="false"/>
          <w:lang w:val="ru-RU"/>
        </w:rPr>
        <w:t>4.1.2.</w:t>
        <w:tab/>
        <w:t>Внесение изменений в сметную документацию Г</w:t>
      </w:r>
      <w:r>
        <w:rPr>
          <w:b w:val="false"/>
          <w:lang w:val="ru-RU"/>
        </w:rPr>
        <w:t>енподрядчика</w:t>
      </w:r>
      <w:r>
        <w:rPr>
          <w:b w:val="false"/>
          <w:bCs w:val="false"/>
          <w:lang w:val="ru-RU"/>
        </w:rPr>
        <w:t>, кроме применения понижающего коэффициента в соответствии с п.4.1.1, не допускается.</w:t>
      </w:r>
    </w:p>
    <w:p>
      <w:pPr>
        <w:pStyle w:val="Normal"/>
        <w:jc w:val="both"/>
        <w:rPr>
          <w:rFonts w:eastAsia="Calibri"/>
          <w:iCs/>
          <w:sz w:val="24"/>
          <w:szCs w:val="24"/>
          <w:lang w:eastAsia="x-none"/>
        </w:rPr>
      </w:pPr>
      <w:r>
        <w:rPr>
          <w:rFonts w:eastAsia="Calibri"/>
          <w:iCs/>
          <w:sz w:val="24"/>
          <w:szCs w:val="24"/>
          <w:lang w:eastAsia="x-none"/>
        </w:rPr>
        <w:t>4.1.3 Сметная документация разработана Заказчиком в рамках определения твердой цены на СМР в соответствии с требованиями, указанными в приложении №7 к настоящим Техническим требованиям.</w:t>
      </w:r>
    </w:p>
    <w:p>
      <w:pPr>
        <w:pStyle w:val="Normal"/>
        <w:jc w:val="both"/>
        <w:rPr>
          <w:rFonts w:eastAsia="Calibri"/>
          <w:iCs/>
          <w:color w:val="FF0000"/>
          <w:sz w:val="24"/>
          <w:szCs w:val="24"/>
          <w:lang w:eastAsia="x-none"/>
        </w:rPr>
      </w:pPr>
      <w:r>
        <w:rPr>
          <w:rFonts w:eastAsia="Calibri"/>
          <w:iCs/>
          <w:sz w:val="24"/>
          <w:szCs w:val="24"/>
          <w:lang w:eastAsia="x-none"/>
        </w:rPr>
        <w:t>4.2. Сметная документация на пуско-наладочные работы разрабатывается Субподрядчиком на основании программ пуско-наладочных работ, подготовленных Субподрядчиком и согласованным с Генподрядчиком и Заказчиком не менее чем за 30 календарных дней до начала пуско-наладочных работ</w:t>
      </w:r>
      <w:r>
        <w:rPr>
          <w:rFonts w:eastAsia="Calibri"/>
          <w:iCs/>
          <w:color w:val="000000" w:themeColor="text1"/>
          <w:sz w:val="24"/>
          <w:szCs w:val="24"/>
          <w:lang w:eastAsia="x-none"/>
        </w:rPr>
        <w:t>. Сметная документация разрабатывается в соответствии с Приложением №7 с применением понижающего коэффициента, определенного по результатам конкурентной процедуры.</w:t>
      </w:r>
    </w:p>
    <w:p>
      <w:pPr>
        <w:pStyle w:val="Normal"/>
        <w:tabs>
          <w:tab w:val="clear" w:pos="708"/>
          <w:tab w:val="left" w:pos="567" w:leader="none"/>
        </w:tabs>
        <w:rPr>
          <w:rFonts w:eastAsia="Calibri"/>
          <w:iCs/>
          <w:color w:val="000000" w:themeColor="text1"/>
          <w:sz w:val="24"/>
          <w:szCs w:val="24"/>
          <w:lang w:eastAsia="x-none"/>
        </w:rPr>
      </w:pPr>
      <w:r>
        <w:rPr>
          <w:rFonts w:eastAsia="Calibri"/>
          <w:iCs/>
          <w:sz w:val="24"/>
          <w:szCs w:val="24"/>
          <w:lang w:eastAsia="x-none"/>
        </w:rPr>
        <w:t xml:space="preserve">4.3. </w:t>
      </w:r>
      <w:r>
        <w:rPr>
          <w:rFonts w:eastAsia="Calibri"/>
          <w:iCs/>
          <w:color w:val="000000" w:themeColor="text1"/>
          <w:sz w:val="24"/>
          <w:szCs w:val="24"/>
          <w:lang w:eastAsia="x-none"/>
        </w:rPr>
        <w:t>В случае если стоимость по сметам на СМР, выданным в производство работ и по сметам, разработанным Субподрядчиком на пуско-наладочные работы, будет превышать стоимость, указанную в Коммерческом предложении, в ходе исполнения договора Субподрядчику необходимо применить соответствующий дополнительный понижающий коэффициент и откорректировать стоимость в сторону ее уменьшения.</w:t>
      </w:r>
    </w:p>
    <w:p>
      <w:pPr>
        <w:pStyle w:val="Normal"/>
        <w:jc w:val="both"/>
        <w:rPr>
          <w:rFonts w:eastAsia="Calibri"/>
          <w:iCs/>
          <w:color w:val="FF0000"/>
          <w:sz w:val="24"/>
          <w:szCs w:val="24"/>
          <w:lang w:eastAsia="x-none"/>
        </w:rPr>
      </w:pPr>
      <w:r>
        <w:rPr>
          <w:rFonts w:eastAsia="Calibri"/>
          <w:iCs/>
          <w:color w:val="000000" w:themeColor="text1"/>
          <w:sz w:val="24"/>
          <w:szCs w:val="24"/>
          <w:lang w:eastAsia="x-none"/>
        </w:rPr>
        <w:t>4.4. В случае если стоимость по сметам по сметам на СМР, выданным в производство работ и по сметам, разработанным Субподрядчиком на пуско-наладочные работы, будет ниже стоимости, указанной в Коммерческом предложении, взаиморасчеты будут осуществляться по данной смете без увеличения стоимости, указанной в коммерческом предложении</w:t>
      </w:r>
      <w:r>
        <w:rPr>
          <w:rFonts w:eastAsia="Calibri"/>
          <w:iCs/>
          <w:color w:val="FF0000"/>
          <w:sz w:val="24"/>
          <w:szCs w:val="24"/>
          <w:lang w:eastAsia="x-none"/>
        </w:rPr>
        <w:t>.</w:t>
      </w:r>
    </w:p>
    <w:p>
      <w:pPr>
        <w:pStyle w:val="Normal"/>
        <w:jc w:val="both"/>
        <w:rPr>
          <w:rFonts w:eastAsia="Calibri"/>
          <w:iCs/>
          <w:sz w:val="24"/>
          <w:szCs w:val="24"/>
          <w:lang w:eastAsia="x-none"/>
        </w:rPr>
      </w:pPr>
      <w:r>
        <w:rPr>
          <w:rFonts w:eastAsia="Calibri"/>
          <w:iCs/>
          <w:sz w:val="24"/>
          <w:szCs w:val="24"/>
          <w:lang w:eastAsia="x-none"/>
        </w:rPr>
        <w:t>4.5. В сметной документации предусмотрен резерв средств на непредвиденные работы и затраты в размере 3%.</w:t>
      </w:r>
    </w:p>
    <w:p>
      <w:pPr>
        <w:pStyle w:val="Normal"/>
        <w:rPr>
          <w:color w:val="000000" w:themeColor="text1"/>
          <w:sz w:val="24"/>
          <w:szCs w:val="24"/>
        </w:rPr>
      </w:pPr>
      <w:r>
        <w:rPr>
          <w:rFonts w:eastAsia="Calibri"/>
          <w:iCs/>
          <w:sz w:val="24"/>
          <w:szCs w:val="24"/>
          <w:lang w:eastAsia="x-none"/>
        </w:rPr>
        <w:t xml:space="preserve">4.6. </w:t>
      </w:r>
      <w:r>
        <w:rPr>
          <w:sz w:val="24"/>
          <w:szCs w:val="24"/>
        </w:rPr>
        <w:t xml:space="preserve">   </w:t>
      </w:r>
      <w:r>
        <w:rPr>
          <w:color w:val="000000" w:themeColor="text1"/>
          <w:sz w:val="24"/>
          <w:szCs w:val="24"/>
        </w:rPr>
        <w:t xml:space="preserve">Требования к составлению сметной документации (на этапе исполнения договора): </w:t>
      </w:r>
    </w:p>
    <w:p>
      <w:pPr>
        <w:pStyle w:val="Normal"/>
        <w:jc w:val="both"/>
        <w:rPr>
          <w:color w:val="000000" w:themeColor="text1"/>
          <w:sz w:val="24"/>
          <w:szCs w:val="24"/>
        </w:rPr>
      </w:pPr>
      <w:r>
        <w:rPr>
          <w:color w:val="000000" w:themeColor="text1"/>
          <w:sz w:val="24"/>
          <w:szCs w:val="24"/>
        </w:rPr>
        <w:t>4.6.1. В случае возникновения непредвиденных расходов в рамках реализации договора необходимо составлять и оформлять сметную документацию в обосновании данных затрат в соответствии с требованиями, указанными в приложении №7 к настоящим Техническим требованиям. Заключение дополнительного соглашения на увеличение стоимости работ производится после использования резерва средств на непредвиденные работы и затраты. В дополнительном соглашении резерв средств на непредвиденные работы и затраты не предусматривается.</w:t>
      </w:r>
    </w:p>
    <w:p>
      <w:pPr>
        <w:pStyle w:val="Normal"/>
        <w:jc w:val="both"/>
        <w:rPr>
          <w:rFonts w:eastAsia="Calibri"/>
          <w:iCs/>
          <w:sz w:val="24"/>
          <w:szCs w:val="24"/>
          <w:lang w:eastAsia="x-none"/>
        </w:rPr>
      </w:pPr>
      <w:r>
        <w:rPr>
          <w:rFonts w:eastAsia="Calibri"/>
          <w:iCs/>
          <w:sz w:val="24"/>
          <w:szCs w:val="24"/>
          <w:lang w:eastAsia="x-none"/>
        </w:rPr>
      </w:r>
    </w:p>
    <w:p>
      <w:pPr>
        <w:pStyle w:val="Normal"/>
        <w:rPr>
          <w:rFonts w:eastAsia="Calibri"/>
          <w:b/>
          <w:iCs/>
          <w:sz w:val="24"/>
          <w:szCs w:val="24"/>
          <w:lang w:eastAsia="x-none"/>
        </w:rPr>
      </w:pPr>
      <w:r>
        <w:rPr>
          <w:rFonts w:eastAsia="Calibri"/>
          <w:b/>
          <w:iCs/>
          <w:sz w:val="24"/>
          <w:szCs w:val="24"/>
          <w:lang w:eastAsia="x-none"/>
        </w:rPr>
      </w:r>
    </w:p>
    <w:p>
      <w:pPr>
        <w:pStyle w:val="Heading1"/>
        <w:keepLines/>
        <w:numPr>
          <w:ilvl w:val="0"/>
          <w:numId w:val="0"/>
        </w:numPr>
        <w:ind w:left="357" w:hanging="0"/>
        <w:jc w:val="center"/>
        <w:rPr>
          <w:rStyle w:val="Style8"/>
          <w:b/>
          <w:i w:val="false"/>
          <w:i w:val="false"/>
          <w:iCs/>
          <w:caps/>
          <w:shd w:fill="auto" w:val="clear"/>
        </w:rPr>
      </w:pPr>
      <w:bookmarkStart w:id="72" w:name="_Toc221016986"/>
      <w:r>
        <w:rPr>
          <w:iCs/>
        </w:rPr>
        <w:t xml:space="preserve">5. </w:t>
      </w:r>
      <w:bookmarkStart w:id="73" w:name="_Toc51339699"/>
      <w:bookmarkStart w:id="74" w:name="_Toc46743519"/>
      <w:r>
        <w:rPr>
          <w:iCs/>
        </w:rPr>
        <w:t>Приложения</w:t>
      </w:r>
      <w:bookmarkEnd w:id="72"/>
      <w:bookmarkEnd w:id="73"/>
      <w:bookmarkEnd w:id="74"/>
    </w:p>
    <w:p>
      <w:pPr>
        <w:pStyle w:val="Normal"/>
        <w:widowControl w:val="false"/>
        <w:tabs>
          <w:tab w:val="clear" w:pos="708"/>
          <w:tab w:val="left" w:pos="426" w:leader="none"/>
        </w:tabs>
        <w:spacing w:before="60" w:after="0"/>
        <w:jc w:val="both"/>
        <w:rPr>
          <w:bCs/>
          <w:iCs/>
          <w:sz w:val="24"/>
          <w:szCs w:val="24"/>
        </w:rPr>
      </w:pPr>
      <w:r>
        <w:rPr>
          <w:rStyle w:val="Style8"/>
          <w:b w:val="false"/>
          <w:bCs/>
          <w:i w:val="false"/>
          <w:iCs/>
          <w:sz w:val="24"/>
          <w:szCs w:val="24"/>
          <w:shd w:fill="auto" w:val="clear"/>
        </w:rPr>
        <w:t>Приложение №1: Рабочая документация (РД) АО «Ленгидропроект» шифр 2219 («Техническое перевооружение системы вентиляции ФВР5 станционного маслохозяйства Новосибирской ГЭС»).</w:t>
      </w:r>
    </w:p>
    <w:p>
      <w:pPr>
        <w:pStyle w:val="Normal"/>
        <w:widowControl w:val="false"/>
        <w:tabs>
          <w:tab w:val="clear" w:pos="708"/>
          <w:tab w:val="left" w:pos="426" w:leader="none"/>
        </w:tabs>
        <w:spacing w:before="60" w:after="0"/>
        <w:jc w:val="both"/>
        <w:rPr>
          <w:rStyle w:val="Style8"/>
          <w:b w:val="false"/>
          <w:bCs/>
          <w:i w:val="false"/>
          <w:i w:val="false"/>
          <w:iCs/>
          <w:sz w:val="24"/>
          <w:szCs w:val="24"/>
        </w:rPr>
      </w:pPr>
      <w:r>
        <w:rPr>
          <w:bCs/>
          <w:iCs/>
          <w:sz w:val="24"/>
          <w:szCs w:val="24"/>
        </w:rPr>
        <w:t>Приложение №2: Спецификация оборудования, предоставляемого Генподрядчиком;</w:t>
      </w:r>
    </w:p>
    <w:p>
      <w:pPr>
        <w:pStyle w:val="Normal"/>
        <w:widowControl w:val="false"/>
        <w:tabs>
          <w:tab w:val="clear" w:pos="708"/>
          <w:tab w:val="left" w:pos="426" w:leader="none"/>
        </w:tabs>
        <w:spacing w:before="60" w:after="0"/>
        <w:jc w:val="both"/>
        <w:rPr>
          <w:rStyle w:val="Style8"/>
          <w:b w:val="false"/>
          <w:bCs/>
          <w:i w:val="false"/>
          <w:i w:val="false"/>
          <w:iCs/>
          <w:sz w:val="24"/>
          <w:szCs w:val="24"/>
        </w:rPr>
      </w:pPr>
      <w:r>
        <w:rPr>
          <w:rStyle w:val="Style8"/>
          <w:b w:val="false"/>
          <w:bCs/>
          <w:i w:val="false"/>
          <w:iCs/>
          <w:sz w:val="24"/>
          <w:szCs w:val="24"/>
          <w:shd w:fill="auto" w:val="clear"/>
        </w:rPr>
        <w:t xml:space="preserve">Приложение №3: </w:t>
      </w:r>
      <w:r>
        <w:rPr>
          <w:bCs/>
          <w:iCs/>
          <w:sz w:val="24"/>
          <w:szCs w:val="24"/>
        </w:rPr>
        <w:t>Политика Группы РусГидро в области охраны труда;</w:t>
      </w:r>
    </w:p>
    <w:p>
      <w:pPr>
        <w:pStyle w:val="Normal"/>
        <w:widowControl w:val="false"/>
        <w:tabs>
          <w:tab w:val="clear" w:pos="708"/>
          <w:tab w:val="left" w:pos="426" w:leader="none"/>
        </w:tabs>
        <w:spacing w:before="60" w:after="0"/>
        <w:jc w:val="both"/>
        <w:rPr>
          <w:rStyle w:val="Style8"/>
          <w:b w:val="false"/>
          <w:bCs/>
          <w:i w:val="false"/>
          <w:i w:val="false"/>
          <w:iCs/>
          <w:sz w:val="24"/>
          <w:szCs w:val="24"/>
        </w:rPr>
      </w:pPr>
      <w:r>
        <w:rPr>
          <w:rStyle w:val="Style8"/>
          <w:b w:val="false"/>
          <w:bCs/>
          <w:i w:val="false"/>
          <w:iCs/>
          <w:sz w:val="24"/>
          <w:szCs w:val="24"/>
          <w:shd w:fill="auto" w:val="clear"/>
        </w:rPr>
        <w:t xml:space="preserve">Приложение №4: </w:t>
      </w:r>
      <w:r>
        <w:rPr>
          <w:bCs/>
          <w:iCs/>
          <w:sz w:val="24"/>
          <w:szCs w:val="24"/>
        </w:rPr>
        <w:t>Регламент процесса «Допуск персонала подрядных организаций к выполнению работ на объектах ПАО "РусГидро;</w:t>
      </w:r>
    </w:p>
    <w:p>
      <w:pPr>
        <w:pStyle w:val="Normal"/>
        <w:widowControl w:val="false"/>
        <w:tabs>
          <w:tab w:val="clear" w:pos="708"/>
          <w:tab w:val="left" w:pos="426" w:leader="none"/>
        </w:tabs>
        <w:spacing w:before="60" w:after="0"/>
        <w:jc w:val="both"/>
        <w:rPr>
          <w:rStyle w:val="Style8"/>
          <w:shd w:fill="auto" w:val="clear"/>
        </w:rPr>
      </w:pPr>
      <w:r>
        <w:rPr>
          <w:rStyle w:val="Style8"/>
          <w:b w:val="false"/>
          <w:bCs/>
          <w:i w:val="false"/>
          <w:iCs/>
          <w:sz w:val="24"/>
          <w:szCs w:val="24"/>
          <w:shd w:fill="auto" w:val="clear"/>
        </w:rPr>
        <w:t>Приложение №5: Положение о пропускном и внутриобъектовом режимах филиала ПАО «РусГидро» - «Новосибирская ГЭС»;</w:t>
      </w:r>
    </w:p>
    <w:p>
      <w:pPr>
        <w:pStyle w:val="Normal"/>
        <w:rPr>
          <w:bCs/>
          <w:iCs/>
          <w:sz w:val="24"/>
          <w:szCs w:val="24"/>
        </w:rPr>
      </w:pPr>
      <w:r>
        <w:rPr>
          <w:bCs/>
          <w:iCs/>
          <w:sz w:val="24"/>
          <w:szCs w:val="24"/>
        </w:rPr>
        <w:t>Приложение №6:</w:t>
      </w:r>
      <w:r>
        <w:rPr/>
        <w:t xml:space="preserve"> </w:t>
      </w:r>
      <w:r>
        <w:rPr>
          <w:bCs/>
          <w:iCs/>
          <w:sz w:val="24"/>
          <w:szCs w:val="24"/>
        </w:rPr>
        <w:t>Регламент разработки проектов производства работ в филиале ПАО «РусГидро» - «Новосибирская ГЭС»;</w:t>
      </w:r>
    </w:p>
    <w:p>
      <w:pPr>
        <w:pStyle w:val="Normal"/>
        <w:rPr>
          <w:color w:val="000000" w:themeColor="text1"/>
        </w:rPr>
      </w:pPr>
      <w:r>
        <w:rPr>
          <w:bCs/>
          <w:iCs/>
          <w:color w:val="000000" w:themeColor="text1"/>
          <w:sz w:val="24"/>
          <w:szCs w:val="24"/>
        </w:rPr>
        <w:t>Приложение №7: Требования к оформлению и составлению сметной документации на работы по программе технического перевооружения и реконструкции;</w:t>
      </w:r>
    </w:p>
    <w:p>
      <w:pPr>
        <w:pStyle w:val="Normal"/>
        <w:widowControl w:val="false"/>
        <w:tabs>
          <w:tab w:val="clear" w:pos="708"/>
          <w:tab w:val="left" w:pos="426" w:leader="none"/>
        </w:tabs>
        <w:spacing w:before="60" w:after="0"/>
        <w:jc w:val="both"/>
        <w:rPr>
          <w:bCs/>
          <w:iCs/>
          <w:sz w:val="24"/>
          <w:szCs w:val="24"/>
        </w:rPr>
      </w:pPr>
      <w:r>
        <w:rPr>
          <w:bCs/>
          <w:iCs/>
          <w:sz w:val="24"/>
          <w:szCs w:val="24"/>
        </w:rPr>
        <w:t>Приложение №8: Сметная документация.</w:t>
      </w:r>
    </w:p>
    <w:p>
      <w:pPr>
        <w:pStyle w:val="Normal"/>
        <w:jc w:val="both"/>
        <w:rPr>
          <w:sz w:val="24"/>
        </w:rPr>
      </w:pPr>
      <w:r>
        <w:rPr/>
      </w:r>
    </w:p>
    <w:sectPr>
      <w:headerReference w:type="default" r:id="rId9"/>
      <w:headerReference w:type="first" r:id="rId10"/>
      <w:type w:val="nextPage"/>
      <w:pgSz w:w="11906" w:h="16838"/>
      <w:pgMar w:left="1134" w:right="851" w:gutter="0" w:header="680" w:top="1134" w:footer="0" w:bottom="992"/>
      <w:pgNumType w:fmt="decimal"/>
      <w:formProt w:val="false"/>
      <w:titlePg/>
      <w:textDirection w:val="lrTb"/>
      <w:docGrid w:type="default" w:linePitch="381"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Arial">
    <w:charset w:val="01"/>
    <w:family w:val="roman"/>
    <w:pitch w:val="variable"/>
  </w:font>
  <w:font w:name="Calibri">
    <w:charset w:val="01"/>
    <w:family w:val="roman"/>
    <w:pitch w:val="variable"/>
  </w:font>
  <w:font w:name="Liberation Sans">
    <w:altName w:val="Arial"/>
    <w:charset w:val="01"/>
    <w:family w:val="swiss"/>
    <w:pitch w:val="variable"/>
  </w:font>
  <w:font w:name="Liberation Sans">
    <w:altName w:val="Arial"/>
    <w:charset w:val="01"/>
    <w:family w:val="roman"/>
    <w:pitch w:val="variable"/>
  </w:font>
  <w:font w:name="Tahoma">
    <w:charset w:val="01"/>
    <w:family w:val="roman"/>
    <w:pitch w:val="variable"/>
  </w:font>
  <w:font w:name="Arial Unicode MS">
    <w:charset w:val="01"/>
    <w:family w:val="roman"/>
    <w:pitch w:val="variable"/>
  </w:font>
  <w:font w:name="Verdana">
    <w:charset w:val="01"/>
    <w:family w:val="roman"/>
    <w:pitch w:val="variable"/>
  </w:font>
  <w:font w:name="Garamond">
    <w:charset w:val="01"/>
    <w:family w:val="roman"/>
    <w:pitch w:val="variable"/>
  </w:font>
  <w:font w:name="ISOCPEUR">
    <w:charset w:val="01"/>
    <w:family w:val="roman"/>
    <w:pitch w:val="variable"/>
  </w:font>
  <w:font w:name="Times New Roman">
    <w:altName w:val="serif"/>
    <w:charset w:val="01"/>
    <w:family w:val="roman"/>
    <w:pitch w:val="variable"/>
  </w:font>
  <w:font w:name="Courier New">
    <w:charset w:val="01"/>
    <w:family w:val="modern"/>
    <w:pitch w:val="fixed"/>
  </w:font>
  <w:font w:name="Wingdings">
    <w:charset w:val="02"/>
    <w:family w:val="auto"/>
    <w:pitch w:val="default"/>
  </w:font>
  <w:font w:name="Symbol">
    <w:charset w:val="02"/>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mc:AlternateContent>
        <mc:Choice Requires="wps">
          <w:drawing>
            <wp:anchor behindDoc="0" distT="0" distB="0" distL="0" distR="0" simplePos="0" locked="0" layoutInCell="0" allowOverlap="1" relativeHeight="2" wp14:anchorId="4F3CC66A">
              <wp:simplePos x="0" y="0"/>
              <wp:positionH relativeFrom="margin">
                <wp:align>center</wp:align>
              </wp:positionH>
              <wp:positionV relativeFrom="paragraph">
                <wp:posOffset>635</wp:posOffset>
              </wp:positionV>
              <wp:extent cx="14605" cy="14605"/>
              <wp:effectExtent l="0" t="0" r="0" b="0"/>
              <wp:wrapSquare wrapText="bothSides"/>
              <wp:docPr id="1" name="Врезка1"/>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fillRef idx="0"/>
                      <a:effectRef idx="0"/>
                      <a:fontRef idx="minor"/>
                    </wps:style>
                    <wps:txbx>
                      <w:txbxContent>
                        <w:p>
                          <w:pPr>
                            <w:pStyle w:val="Header"/>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wps:txbx>
                    <wps:bodyPr lIns="0" rIns="0" tIns="0" bIns="0" anchor="t">
                      <a:spAutoFit/>
                    </wps:bodyPr>
                  </wps:wsp>
                </a:graphicData>
              </a:graphic>
            </wp:anchor>
          </w:drawing>
        </mc:Choice>
        <mc:Fallback>
          <w:pict>
            <v:rect id="shape_0" ID="Врезка1" path="m0,0l-2147483645,0l-2147483645,-2147483646l0,-2147483646xe" stroked="f" o:allowincell="f" style="position:absolute;margin-left:0pt;margin-top:0.05pt;width:1.1pt;height:1.1pt;mso-wrap-style:square;v-text-anchor:top;mso-position-horizontal:center;mso-position-horizontal-relative:margin" wp14:anchorId="4F3CC66A">
              <v:fill o:detectmouseclick="t" on="false"/>
              <v:stroke color="#3465a4" joinstyle="round" endcap="flat"/>
              <v:textbox>
                <w:txbxContent>
                  <w:p>
                    <w:pPr>
                      <w:pStyle w:val="Header"/>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v:textbox>
              <w10:wrap type="square"/>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5</w:t>
    </w:r>
    <w:r>
      <w:rPr/>
      <w:fldChar w:fldCharType="end"/>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lang w:val="en-US"/>
      </w:rPr>
    </w:pPr>
    <w:r>
      <w:rPr>
        <w:lang w:val="en-US"/>
      </w:rPr>
      <w:t>6</w:t>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23</w:t>
    </w:r>
    <w:r>
      <w:rPr/>
      <w:fldChar w:fldCharType="end"/>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lang w:val="en-US"/>
      </w:rPr>
    </w:pPr>
    <w:r>
      <w:rPr>
        <w:lang w:val="en-US"/>
      </w:rPr>
      <w:t>7</w:t>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25</w:t>
    </w:r>
    <w:r>
      <w:rPr/>
      <w:fldChar w:fldCharType="end"/>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lang w:val="en-US"/>
      </w:rPr>
    </w:pPr>
    <w:r>
      <w:rPr>
        <w:lang w:val="en-US"/>
      </w:rPr>
      <w:t>23</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60"/>
        </w:tabs>
        <w:ind w:left="360" w:hanging="360"/>
      </w:pPr>
      <w:rPr/>
    </w:lvl>
    <w:lvl w:ilvl="1">
      <w:start w:val="1"/>
      <w:numFmt w:val="decimal"/>
      <w:lvlText w:val="%1.%2."/>
      <w:lvlJc w:val="left"/>
      <w:pPr>
        <w:tabs>
          <w:tab w:val="num" w:pos="357"/>
        </w:tabs>
        <w:ind w:left="0" w:hanging="0"/>
      </w:pPr>
      <w:rPr/>
    </w:lvl>
    <w:lvl w:ilvl="2">
      <w:start w:val="1"/>
      <w:numFmt w:val="decimal"/>
      <w:lvlText w:val="%1.%2.%3."/>
      <w:lvlJc w:val="left"/>
      <w:pPr>
        <w:tabs>
          <w:tab w:val="num" w:pos="357"/>
        </w:tabs>
        <w:ind w:left="0" w:hanging="0"/>
      </w:pPr>
      <w:rPr/>
    </w:lvl>
    <w:lvl w:ilvl="3">
      <w:start w:val="1"/>
      <w:numFmt w:val="decimal"/>
      <w:lvlText w:val="%1.%2.%3.%4."/>
      <w:lvlJc w:val="left"/>
      <w:pPr>
        <w:tabs>
          <w:tab w:val="num" w:pos="357"/>
        </w:tabs>
        <w:ind w:left="0" w:hanging="0"/>
      </w:pPr>
      <w:rPr/>
    </w:lvl>
    <w:lvl w:ilvl="4">
      <w:start w:val="1"/>
      <w:numFmt w:val="decimal"/>
      <w:lvlText w:val="%1.%2.%3.%4.%5."/>
      <w:lvlJc w:val="left"/>
      <w:pPr>
        <w:tabs>
          <w:tab w:val="num" w:pos="2520"/>
        </w:tabs>
        <w:ind w:left="0" w:hanging="0"/>
      </w:pPr>
      <w:rPr/>
    </w:lvl>
    <w:lvl w:ilvl="5">
      <w:start w:val="1"/>
      <w:numFmt w:val="decimal"/>
      <w:lvlText w:val="%1.%2.%3.%4.%5.%6."/>
      <w:lvlJc w:val="left"/>
      <w:pPr>
        <w:tabs>
          <w:tab w:val="num" w:pos="357"/>
        </w:tabs>
        <w:ind w:left="0" w:hanging="0"/>
      </w:pPr>
      <w:rPr/>
    </w:lvl>
    <w:lvl w:ilvl="6">
      <w:start w:val="1"/>
      <w:numFmt w:val="decimal"/>
      <w:lvlText w:val="%1.%2.%3.%4.%5.%6.%7."/>
      <w:lvlJc w:val="left"/>
      <w:pPr>
        <w:tabs>
          <w:tab w:val="num" w:pos="357"/>
        </w:tabs>
        <w:ind w:left="0" w:hanging="0"/>
      </w:pPr>
      <w:rPr/>
    </w:lvl>
    <w:lvl w:ilvl="7">
      <w:start w:val="1"/>
      <w:numFmt w:val="decimal"/>
      <w:lvlText w:val="%1.%2.%3.%4.%5.%6.%7.%8."/>
      <w:lvlJc w:val="left"/>
      <w:pPr>
        <w:tabs>
          <w:tab w:val="num" w:pos="357"/>
        </w:tabs>
        <w:ind w:left="0" w:hanging="0"/>
      </w:pPr>
      <w:rPr/>
    </w:lvl>
    <w:lvl w:ilvl="8">
      <w:start w:val="1"/>
      <w:numFmt w:val="decimal"/>
      <w:lvlText w:val="%1.%2.%3.%4.%5.%6.%7.%8.%9."/>
      <w:lvlJc w:val="left"/>
      <w:pPr>
        <w:tabs>
          <w:tab w:val="num" w:pos="357"/>
        </w:tabs>
        <w:ind w:left="0" w:hanging="0"/>
      </w:pPr>
      <w:rPr/>
    </w:lvl>
  </w:abstractNum>
  <w:abstractNum w:abstractNumId="2">
    <w:lvl w:ilvl="0">
      <w:start w:val="4"/>
      <w:numFmt w:val="bullet"/>
      <w:lvlText w:val="-"/>
      <w:lvlJc w:val="left"/>
      <w:pPr>
        <w:tabs>
          <w:tab w:val="num" w:pos="0"/>
        </w:tabs>
        <w:ind w:left="-207" w:hanging="360"/>
      </w:pPr>
      <w:rPr>
        <w:rFonts w:ascii="Times New Roman" w:hAnsi="Times New Roman" w:cs="Times New Roman" w:hint="default"/>
      </w:rPr>
    </w:lvl>
    <w:lvl w:ilvl="1">
      <w:start w:val="1"/>
      <w:numFmt w:val="bullet"/>
      <w:lvlText w:val="o"/>
      <w:lvlJc w:val="left"/>
      <w:pPr>
        <w:tabs>
          <w:tab w:val="num" w:pos="513"/>
        </w:tabs>
        <w:ind w:left="513" w:hanging="360"/>
      </w:pPr>
      <w:rPr>
        <w:rFonts w:ascii="Courier New" w:hAnsi="Courier New" w:cs="Courier New" w:hint="default"/>
      </w:rPr>
    </w:lvl>
    <w:lvl w:ilvl="2">
      <w:start w:val="1"/>
      <w:numFmt w:val="bullet"/>
      <w:lvlText w:val=""/>
      <w:lvlJc w:val="left"/>
      <w:pPr>
        <w:tabs>
          <w:tab w:val="num" w:pos="1233"/>
        </w:tabs>
        <w:ind w:left="1233" w:hanging="360"/>
      </w:pPr>
      <w:rPr>
        <w:rFonts w:ascii="Wingdings" w:hAnsi="Wingdings" w:cs="Wingdings" w:hint="default"/>
      </w:rPr>
    </w:lvl>
    <w:lvl w:ilvl="3">
      <w:start w:val="1"/>
      <w:numFmt w:val="bullet"/>
      <w:lvlText w:val=""/>
      <w:lvlJc w:val="left"/>
      <w:pPr>
        <w:tabs>
          <w:tab w:val="num" w:pos="1953"/>
        </w:tabs>
        <w:ind w:left="1953" w:hanging="360"/>
      </w:pPr>
      <w:rPr>
        <w:rFonts w:ascii="Symbol" w:hAnsi="Symbol" w:cs="Symbol" w:hint="default"/>
      </w:rPr>
    </w:lvl>
    <w:lvl w:ilvl="4">
      <w:start w:val="1"/>
      <w:numFmt w:val="bullet"/>
      <w:lvlText w:val="o"/>
      <w:lvlJc w:val="left"/>
      <w:pPr>
        <w:tabs>
          <w:tab w:val="num" w:pos="2673"/>
        </w:tabs>
        <w:ind w:left="2673" w:hanging="360"/>
      </w:pPr>
      <w:rPr>
        <w:rFonts w:ascii="Courier New" w:hAnsi="Courier New" w:cs="Courier New" w:hint="default"/>
      </w:rPr>
    </w:lvl>
    <w:lvl w:ilvl="5">
      <w:start w:val="1"/>
      <w:numFmt w:val="bullet"/>
      <w:lvlText w:val=""/>
      <w:lvlJc w:val="left"/>
      <w:pPr>
        <w:tabs>
          <w:tab w:val="num" w:pos="3393"/>
        </w:tabs>
        <w:ind w:left="3393" w:hanging="360"/>
      </w:pPr>
      <w:rPr>
        <w:rFonts w:ascii="Wingdings" w:hAnsi="Wingdings" w:cs="Wingdings" w:hint="default"/>
      </w:rPr>
    </w:lvl>
    <w:lvl w:ilvl="6">
      <w:start w:val="1"/>
      <w:numFmt w:val="bullet"/>
      <w:lvlText w:val=""/>
      <w:lvlJc w:val="left"/>
      <w:pPr>
        <w:tabs>
          <w:tab w:val="num" w:pos="4113"/>
        </w:tabs>
        <w:ind w:left="4113" w:hanging="360"/>
      </w:pPr>
      <w:rPr>
        <w:rFonts w:ascii="Symbol" w:hAnsi="Symbol" w:cs="Symbol" w:hint="default"/>
      </w:rPr>
    </w:lvl>
    <w:lvl w:ilvl="7">
      <w:start w:val="1"/>
      <w:numFmt w:val="bullet"/>
      <w:lvlText w:val="o"/>
      <w:lvlJc w:val="left"/>
      <w:pPr>
        <w:tabs>
          <w:tab w:val="num" w:pos="4833"/>
        </w:tabs>
        <w:ind w:left="4833" w:hanging="360"/>
      </w:pPr>
      <w:rPr>
        <w:rFonts w:ascii="Courier New" w:hAnsi="Courier New" w:cs="Courier New" w:hint="default"/>
      </w:rPr>
    </w:lvl>
    <w:lvl w:ilvl="8">
      <w:start w:val="1"/>
      <w:numFmt w:val="bullet"/>
      <w:lvlText w:val=""/>
      <w:lvlJc w:val="left"/>
      <w:pPr>
        <w:tabs>
          <w:tab w:val="num" w:pos="5553"/>
        </w:tabs>
        <w:ind w:left="5553" w:hanging="360"/>
      </w:pPr>
      <w:rPr>
        <w:rFonts w:ascii="Wingdings" w:hAnsi="Wingdings" w:cs="Wingdings" w:hint="default"/>
      </w:rPr>
    </w:lvl>
  </w:abstractNum>
  <w:abstractNum w:abstractNumId="3">
    <w:lvl w:ilvl="0">
      <w:start w:val="1"/>
      <w:numFmt w:val="decimal"/>
      <w:lvlText w:val="%1."/>
      <w:lvlJc w:val="left"/>
      <w:pPr>
        <w:tabs>
          <w:tab w:val="num" w:pos="0"/>
        </w:tabs>
        <w:ind w:left="5038" w:hanging="360"/>
      </w:pPr>
      <w:rPr>
        <w:smallCaps w:val="false"/>
        <w:caps w:val="false"/>
        <w:dstrike w:val="false"/>
        <w:strike w:val="false"/>
        <w:vertAlign w:val="baseline"/>
        <w:position w:val="0"/>
        <w:sz w:val="28"/>
        <w:sz w:val="28"/>
        <w:spacing w:val="0"/>
        <w:i w:val="false"/>
        <w:u w:val="none"/>
        <w:b/>
        <w:kern w:val="0"/>
        <w:effect w:val="none"/>
        <w:szCs w:val="28"/>
        <w:iCs w:val="false"/>
        <w:bCs w:val="false"/>
        <w:em w:val="none"/>
        <w:vanish w:val="false"/>
        <w:rFonts w:ascii="Times New Roman" w:hAnsi="Times New Roman" w:cs="Times New Roman"/>
        <w:color w:val="00000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432" w:hanging="432"/>
      </w:pPr>
      <w:rPr>
        <w:sz w:val="24"/>
        <w:i w:val="false"/>
        <w:b/>
        <w:szCs w:val="24"/>
        <w:iCs/>
        <w:bCs/>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1134" w:hanging="1134"/>
      </w:pPr>
      <w:rPr/>
    </w:lvl>
    <w:lvl w:ilvl="1">
      <w:start w:val="1"/>
      <w:numFmt w:val="decimal"/>
      <w:lvlText w:val="%1.%2."/>
      <w:lvlJc w:val="left"/>
      <w:pPr>
        <w:tabs>
          <w:tab w:val="num" w:pos="0"/>
        </w:tabs>
        <w:ind w:left="1134" w:hanging="1134"/>
      </w:pPr>
      <w:rPr/>
    </w:lvl>
    <w:lvl w:ilvl="2">
      <w:start w:val="1"/>
      <w:numFmt w:val="decimal"/>
      <w:lvlText w:val="%1.%2.%3."/>
      <w:lvlJc w:val="left"/>
      <w:pPr>
        <w:tabs>
          <w:tab w:val="num" w:pos="0"/>
        </w:tabs>
        <w:ind w:left="1134" w:hanging="1134"/>
      </w:pPr>
      <w:rPr/>
    </w:lvl>
    <w:lvl w:ilvl="3">
      <w:start w:val="1"/>
      <w:numFmt w:val="russianLower"/>
      <w:lvlText w:val="(%4)"/>
      <w:lvlJc w:val="left"/>
      <w:pPr>
        <w:tabs>
          <w:tab w:val="num" w:pos="0"/>
        </w:tabs>
        <w:ind w:left="1985" w:hanging="567"/>
      </w:pPr>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lvl>
    <w:lvl w:ilvl="6">
      <w:start w:val="1"/>
      <w:numFmt w:val="none"/>
      <w:suff w:val="nothing"/>
      <w:lvlText w:val=""/>
      <w:lvlJc w:val="left"/>
      <w:pPr>
        <w:tabs>
          <w:tab w:val="num" w:pos="0"/>
        </w:tabs>
        <w:ind w:left="1701"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1134" w:hanging="0"/>
      </w:pPr>
      <w:rPr/>
    </w:lvl>
  </w:abstractNum>
  <w:abstractNum w:abstractNumId="5">
    <w:lvl w:ilvl="0">
      <w:start w:val="1"/>
      <w:numFmt w:val="decimal"/>
      <w:lvlText w:val="1.%1"/>
      <w:lvlJc w:val="left"/>
      <w:pPr>
        <w:tabs>
          <w:tab w:val="num" w:pos="0"/>
        </w:tabs>
        <w:ind w:left="1429" w:hanging="360"/>
      </w:pPr>
      <w:rPr/>
    </w:lvl>
    <w:lvl w:ilvl="1">
      <w:start w:val="1"/>
      <w:numFmt w:val="lowerLetter"/>
      <w:lvlText w:val="%2."/>
      <w:lvlJc w:val="left"/>
      <w:pPr>
        <w:tabs>
          <w:tab w:val="num" w:pos="0"/>
        </w:tabs>
        <w:ind w:left="2149" w:hanging="360"/>
      </w:pPr>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6">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4"/>
        <w:b/>
        <w:szCs w:val="24"/>
        <w:bCs w:val="false"/>
      </w:rPr>
    </w:lvl>
    <w:lvl w:ilvl="1">
      <w:start w:val="1"/>
      <w:numFmt w:val="decimal"/>
      <w:lvlText w:val="%1.%2."/>
      <w:lvlJc w:val="left"/>
      <w:pPr>
        <w:tabs>
          <w:tab w:val="num" w:pos="0"/>
        </w:tabs>
        <w:ind w:left="792" w:hanging="432"/>
      </w:pPr>
      <w:rPr>
        <w:sz w:val="24"/>
        <w:b w:val="false"/>
        <w:szCs w:val="24"/>
        <w:bCs/>
      </w:rPr>
    </w:lvl>
    <w:lvl w:ilvl="2">
      <w:start w:val="1"/>
      <w:numFmt w:val="decimal"/>
      <w:lvlText w:val="%1.%2.%3."/>
      <w:lvlJc w:val="left"/>
      <w:pPr>
        <w:tabs>
          <w:tab w:val="num" w:pos="0"/>
        </w:tabs>
        <w:ind w:left="1224" w:hanging="504"/>
      </w:pPr>
      <w:rPr>
        <w:sz w:val="24"/>
        <w:szCs w:val="24"/>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numFmt w:val="bullet"/>
      <w:lvlText w:val="-"/>
      <w:lvlJc w:val="left"/>
      <w:pPr>
        <w:tabs>
          <w:tab w:val="num" w:pos="0"/>
        </w:tabs>
        <w:ind w:left="927" w:hanging="360"/>
      </w:pPr>
      <w:rPr>
        <w:rFonts w:ascii="Times New Roman" w:hAnsi="Times New Roman" w:cs="Times New Roman" w:hint="default"/>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cs="Wingdings" w:hint="default"/>
      </w:rPr>
    </w:lvl>
    <w:lvl w:ilvl="3">
      <w:start w:val="1"/>
      <w:numFmt w:val="bullet"/>
      <w:lvlText w:val=""/>
      <w:lvlJc w:val="left"/>
      <w:pPr>
        <w:tabs>
          <w:tab w:val="num" w:pos="0"/>
        </w:tabs>
        <w:ind w:left="3087" w:hanging="360"/>
      </w:pPr>
      <w:rPr>
        <w:rFonts w:ascii="Symbol" w:hAnsi="Symbol" w:cs="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cs="Wingdings" w:hint="default"/>
      </w:rPr>
    </w:lvl>
    <w:lvl w:ilvl="6">
      <w:start w:val="1"/>
      <w:numFmt w:val="bullet"/>
      <w:lvlText w:val=""/>
      <w:lvlJc w:val="left"/>
      <w:pPr>
        <w:tabs>
          <w:tab w:val="num" w:pos="0"/>
        </w:tabs>
        <w:ind w:left="5247" w:hanging="360"/>
      </w:pPr>
      <w:rPr>
        <w:rFonts w:ascii="Symbol" w:hAnsi="Symbol" w:cs="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cs="Wingdings" w:hint="default"/>
      </w:rPr>
    </w:lvl>
  </w:abstractNum>
  <w:abstractNum w:abstractNumId="1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uiPriority="99" w:semiHidden="1" w:unhideWhenUsed="1"/>
    <w:lsdException w:name="Strong" w:qFormat="1"/>
    <w:lsdException w:name="Emphasis" w:uiPriority="20" w:qFormat="1"/>
    <w:lsdException w:name="Document Map" w:semiHidden="1" w:unhideWhenUsed="1"/>
    <w:lsdException w:name="Plain Text" w:semiHidden="1" w:unhideWhenUsed="1"/>
    <w:lsdException w:name="E-mail Signature" w:uiPriority="99"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a2166f"/>
    <w:pPr>
      <w:widowControl/>
      <w:suppressAutoHyphens w:val="true"/>
      <w:bidi w:val="0"/>
      <w:spacing w:before="0" w:after="0"/>
      <w:jc w:val="left"/>
    </w:pPr>
    <w:rPr>
      <w:rFonts w:ascii="Times New Roman" w:hAnsi="Times New Roman" w:eastAsia="Times New Roman" w:cs="Times New Roman"/>
      <w:color w:val="auto"/>
      <w:kern w:val="0"/>
      <w:sz w:val="28"/>
      <w:szCs w:val="28"/>
      <w:lang w:val="ru-RU" w:eastAsia="ru-RU" w:bidi="ar-SA"/>
    </w:rPr>
  </w:style>
  <w:style w:type="paragraph" w:styleId="Heading1">
    <w:name w:val="Heading 1"/>
    <w:basedOn w:val="Heading3"/>
    <w:next w:val="Normal"/>
    <w:link w:val="1"/>
    <w:qFormat/>
    <w:rsid w:val="00353a27"/>
    <w:pPr>
      <w:numPr>
        <w:ilvl w:val="0"/>
      </w:numPr>
      <w:outlineLvl w:val="0"/>
    </w:pPr>
    <w:rPr>
      <w:sz w:val="28"/>
      <w:szCs w:val="28"/>
    </w:rPr>
  </w:style>
  <w:style w:type="paragraph" w:styleId="Heading2">
    <w:name w:val="Heading 2"/>
    <w:basedOn w:val="Heading4"/>
    <w:next w:val="Normal"/>
    <w:link w:val="2"/>
    <w:qFormat/>
    <w:rsid w:val="00ea61a8"/>
    <w:pPr>
      <w:outlineLvl w:val="1"/>
    </w:pPr>
    <w:rPr/>
  </w:style>
  <w:style w:type="paragraph" w:styleId="Heading3">
    <w:name w:val="Heading 3"/>
    <w:basedOn w:val="Normal"/>
    <w:next w:val="Normal"/>
    <w:link w:val="3"/>
    <w:autoRedefine/>
    <w:qFormat/>
    <w:rsid w:val="00035e96"/>
    <w:pPr>
      <w:keepNext w:val="true"/>
      <w:numPr>
        <w:ilvl w:val="2"/>
        <w:numId w:val="3"/>
      </w:numPr>
      <w:spacing w:before="120" w:after="60"/>
      <w:outlineLvl w:val="2"/>
    </w:pPr>
    <w:rPr>
      <w:rFonts w:eastAsia="Calibri"/>
      <w:b/>
      <w:sz w:val="24"/>
      <w:szCs w:val="24"/>
      <w:lang w:val="x-none" w:eastAsia="x-none"/>
    </w:rPr>
  </w:style>
  <w:style w:type="paragraph" w:styleId="Heading4">
    <w:name w:val="Heading 4"/>
    <w:basedOn w:val="Heading3"/>
    <w:next w:val="Normal"/>
    <w:link w:val="4"/>
    <w:qFormat/>
    <w:rsid w:val="006629c9"/>
    <w:pPr>
      <w:numPr>
        <w:ilvl w:val="0"/>
        <w:numId w:val="0"/>
      </w:numPr>
      <w:tabs>
        <w:tab w:val="clear" w:pos="708"/>
        <w:tab w:val="left" w:pos="0" w:leader="none"/>
      </w:tabs>
      <w:ind w:left="432" w:hanging="432"/>
      <w:outlineLvl w:val="3"/>
    </w:pPr>
    <w:rPr>
      <w:bCs/>
    </w:rPr>
  </w:style>
  <w:style w:type="paragraph" w:styleId="Heading5">
    <w:name w:val="Heading 5"/>
    <w:basedOn w:val="Normal"/>
    <w:next w:val="Normal"/>
    <w:link w:val="5"/>
    <w:uiPriority w:val="9"/>
    <w:qFormat/>
    <w:rsid w:val="0076353a"/>
    <w:pPr>
      <w:spacing w:before="240" w:after="60"/>
      <w:outlineLvl w:val="4"/>
    </w:pPr>
    <w:rPr>
      <w:b/>
      <w:bCs/>
      <w:i/>
      <w:iCs/>
      <w:sz w:val="26"/>
      <w:szCs w:val="26"/>
      <w:lang w:val="x-none" w:eastAsia="x-none"/>
    </w:rPr>
  </w:style>
  <w:style w:type="paragraph" w:styleId="Heading6">
    <w:name w:val="Heading 6"/>
    <w:basedOn w:val="Normal"/>
    <w:next w:val="Normal"/>
    <w:link w:val="6"/>
    <w:uiPriority w:val="9"/>
    <w:qFormat/>
    <w:rsid w:val="00d22f6d"/>
    <w:pPr>
      <w:keepNext w:val="true"/>
      <w:keepLines/>
      <w:spacing w:before="200" w:after="0"/>
      <w:outlineLvl w:val="5"/>
    </w:pPr>
    <w:rPr>
      <w:rFonts w:ascii="Cambria" w:hAnsi="Cambria"/>
      <w:i/>
      <w:iCs/>
      <w:color w:val="243F60"/>
      <w:sz w:val="20"/>
      <w:szCs w:val="20"/>
      <w:lang w:val="x-none" w:eastAsia="x-none"/>
    </w:rPr>
  </w:style>
  <w:style w:type="paragraph" w:styleId="Heading7">
    <w:name w:val="Heading 7"/>
    <w:basedOn w:val="Normal"/>
    <w:next w:val="Normal"/>
    <w:link w:val="7"/>
    <w:uiPriority w:val="9"/>
    <w:qFormat/>
    <w:rsid w:val="00d22f6d"/>
    <w:pPr>
      <w:keepNext w:val="true"/>
      <w:keepLines/>
      <w:spacing w:before="200" w:after="0"/>
      <w:outlineLvl w:val="6"/>
    </w:pPr>
    <w:rPr>
      <w:rFonts w:ascii="Cambria" w:hAnsi="Cambria"/>
      <w:i/>
      <w:iCs/>
      <w:color w:val="404040"/>
      <w:sz w:val="20"/>
      <w:szCs w:val="20"/>
      <w:lang w:val="x-none" w:eastAsia="x-none"/>
    </w:rPr>
  </w:style>
  <w:style w:type="paragraph" w:styleId="Heading8">
    <w:name w:val="Heading 8"/>
    <w:basedOn w:val="Normal"/>
    <w:next w:val="Normal"/>
    <w:link w:val="8"/>
    <w:uiPriority w:val="9"/>
    <w:qFormat/>
    <w:rsid w:val="00d22f6d"/>
    <w:pPr>
      <w:keepNext w:val="true"/>
      <w:keepLines/>
      <w:spacing w:before="200" w:after="0"/>
      <w:outlineLvl w:val="7"/>
    </w:pPr>
    <w:rPr>
      <w:rFonts w:ascii="Cambria" w:hAnsi="Cambria"/>
      <w:color w:val="4F81BD"/>
      <w:sz w:val="20"/>
      <w:szCs w:val="20"/>
      <w:lang w:val="x-none" w:eastAsia="x-none"/>
    </w:rPr>
  </w:style>
  <w:style w:type="paragraph" w:styleId="Heading9">
    <w:name w:val="Heading 9"/>
    <w:basedOn w:val="Normal"/>
    <w:next w:val="Normal"/>
    <w:link w:val="9"/>
    <w:uiPriority w:val="9"/>
    <w:qFormat/>
    <w:rsid w:val="0076353a"/>
    <w:pPr>
      <w:spacing w:before="240" w:after="60"/>
      <w:outlineLvl w:val="8"/>
    </w:pPr>
    <w:rPr>
      <w:rFonts w:ascii="Arial" w:hAnsi="Arial"/>
      <w:sz w:val="22"/>
      <w:szCs w:val="22"/>
      <w:lang w:val="x-none" w:eastAsia="x-none"/>
    </w:rPr>
  </w:style>
  <w:style w:type="character" w:styleId="DefaultParagraphFont" w:default="1">
    <w:name w:val="Default Paragraph Font"/>
    <w:uiPriority w:val="1"/>
    <w:semiHidden/>
    <w:unhideWhenUsed/>
    <w:qFormat/>
    <w:rPr/>
  </w:style>
  <w:style w:type="character" w:styleId="Style" w:customStyle="1">
    <w:name w:val="Символ сноски"/>
    <w:qFormat/>
    <w:rsid w:val="00d561d9"/>
    <w:rPr>
      <w:vertAlign w:val="superscript"/>
    </w:rPr>
  </w:style>
  <w:style w:type="character" w:styleId="FootnoteReference">
    <w:name w:val="Footnote Reference"/>
    <w:rPr>
      <w:vertAlign w:val="superscript"/>
    </w:rPr>
  </w:style>
  <w:style w:type="character" w:styleId="Pagenumber">
    <w:name w:val="page number"/>
    <w:basedOn w:val="DefaultParagraphFont"/>
    <w:qFormat/>
    <w:rsid w:val="006c2f3f"/>
    <w:rPr/>
  </w:style>
  <w:style w:type="character" w:styleId="Hyperlink">
    <w:name w:val="Hyperlink"/>
    <w:uiPriority w:val="99"/>
    <w:rsid w:val="006c2f3f"/>
    <w:rPr>
      <w:color w:val="0000FF"/>
      <w:u w:val="single"/>
    </w:rPr>
  </w:style>
  <w:style w:type="character" w:styleId="Annotationreference">
    <w:name w:val="annotation reference"/>
    <w:semiHidden/>
    <w:qFormat/>
    <w:rsid w:val="00b714b0"/>
    <w:rPr>
      <w:sz w:val="16"/>
      <w:szCs w:val="16"/>
    </w:rPr>
  </w:style>
  <w:style w:type="character" w:styleId="Strong">
    <w:name w:val="Strong"/>
    <w:qFormat/>
    <w:rsid w:val="00165965"/>
    <w:rPr>
      <w:b/>
      <w:bCs/>
    </w:rPr>
  </w:style>
  <w:style w:type="character" w:styleId="6" w:customStyle="1">
    <w:name w:val="Заголовок 6 Знак"/>
    <w:uiPriority w:val="9"/>
    <w:qFormat/>
    <w:rsid w:val="00d22f6d"/>
    <w:rPr>
      <w:rFonts w:ascii="Cambria" w:hAnsi="Cambria"/>
      <w:i/>
      <w:iCs/>
      <w:color w:val="243F60"/>
      <w:lang w:val="x-none" w:eastAsia="x-none"/>
    </w:rPr>
  </w:style>
  <w:style w:type="character" w:styleId="7" w:customStyle="1">
    <w:name w:val="Заголовок 7 Знак"/>
    <w:uiPriority w:val="9"/>
    <w:qFormat/>
    <w:rsid w:val="00d22f6d"/>
    <w:rPr>
      <w:rFonts w:ascii="Cambria" w:hAnsi="Cambria"/>
      <w:i/>
      <w:iCs/>
      <w:color w:val="404040"/>
      <w:lang w:val="x-none" w:eastAsia="x-none"/>
    </w:rPr>
  </w:style>
  <w:style w:type="character" w:styleId="8" w:customStyle="1">
    <w:name w:val="Заголовок 8 Знак"/>
    <w:uiPriority w:val="9"/>
    <w:qFormat/>
    <w:rsid w:val="00d22f6d"/>
    <w:rPr>
      <w:rFonts w:ascii="Cambria" w:hAnsi="Cambria"/>
      <w:color w:val="4F81BD"/>
      <w:lang w:val="x-none" w:eastAsia="x-none"/>
    </w:rPr>
  </w:style>
  <w:style w:type="character" w:styleId="1" w:customStyle="1">
    <w:name w:val="Заголовок 1 Знак"/>
    <w:qFormat/>
    <w:rsid w:val="00353a27"/>
    <w:rPr>
      <w:rFonts w:eastAsia="Calibri"/>
      <w:b/>
      <w:sz w:val="28"/>
      <w:szCs w:val="28"/>
      <w:lang w:val="x-none" w:eastAsia="x-none"/>
    </w:rPr>
  </w:style>
  <w:style w:type="character" w:styleId="2" w:customStyle="1">
    <w:name w:val="Заголовок 2 Знак"/>
    <w:qFormat/>
    <w:rsid w:val="00ea61a8"/>
    <w:rPr>
      <w:rFonts w:eastAsia="Calibri"/>
      <w:b/>
      <w:bCs/>
      <w:sz w:val="24"/>
      <w:szCs w:val="24"/>
      <w:lang w:val="x-none" w:eastAsia="x-none"/>
    </w:rPr>
  </w:style>
  <w:style w:type="character" w:styleId="3" w:customStyle="1">
    <w:name w:val="Заголовок 3 Знак"/>
    <w:qFormat/>
    <w:rsid w:val="00035e96"/>
    <w:rPr>
      <w:rFonts w:eastAsia="Calibri"/>
      <w:b/>
      <w:sz w:val="24"/>
      <w:szCs w:val="24"/>
      <w:lang w:val="x-none" w:eastAsia="x-none"/>
    </w:rPr>
  </w:style>
  <w:style w:type="character" w:styleId="4" w:customStyle="1">
    <w:name w:val="Заголовок 4 Знак"/>
    <w:qFormat/>
    <w:rsid w:val="006629c9"/>
    <w:rPr>
      <w:rFonts w:eastAsia="Calibri"/>
      <w:b/>
      <w:bCs/>
      <w:sz w:val="24"/>
      <w:szCs w:val="24"/>
      <w:lang w:val="x-none" w:eastAsia="x-none"/>
    </w:rPr>
  </w:style>
  <w:style w:type="character" w:styleId="5" w:customStyle="1">
    <w:name w:val="Заголовок 5 Знак"/>
    <w:uiPriority w:val="9"/>
    <w:qFormat/>
    <w:rsid w:val="00d22f6d"/>
    <w:rPr>
      <w:b/>
      <w:bCs/>
      <w:i/>
      <w:iCs/>
      <w:sz w:val="26"/>
      <w:szCs w:val="26"/>
    </w:rPr>
  </w:style>
  <w:style w:type="character" w:styleId="9" w:customStyle="1">
    <w:name w:val="Заголовок 9 Знак"/>
    <w:uiPriority w:val="9"/>
    <w:qFormat/>
    <w:rsid w:val="00d22f6d"/>
    <w:rPr>
      <w:rFonts w:ascii="Arial" w:hAnsi="Arial" w:cs="Arial"/>
      <w:sz w:val="22"/>
      <w:szCs w:val="22"/>
    </w:rPr>
  </w:style>
  <w:style w:type="character" w:styleId="Style1" w:customStyle="1">
    <w:name w:val="Название Знак"/>
    <w:link w:val="15"/>
    <w:uiPriority w:val="10"/>
    <w:qFormat/>
    <w:rsid w:val="00d22f6d"/>
    <w:rPr>
      <w:sz w:val="28"/>
    </w:rPr>
  </w:style>
  <w:style w:type="character" w:styleId="Style2" w:customStyle="1">
    <w:name w:val="Подзаголовок Знак"/>
    <w:uiPriority w:val="11"/>
    <w:qFormat/>
    <w:rsid w:val="00d22f6d"/>
    <w:rPr>
      <w:rFonts w:ascii="Cambria" w:hAnsi="Cambria"/>
      <w:i/>
      <w:iCs/>
      <w:color w:val="4F81BD"/>
      <w:spacing w:val="15"/>
      <w:sz w:val="24"/>
      <w:szCs w:val="24"/>
      <w:lang w:val="x-none" w:eastAsia="x-none"/>
    </w:rPr>
  </w:style>
  <w:style w:type="character" w:styleId="Emphasis">
    <w:name w:val="Emphasis"/>
    <w:uiPriority w:val="20"/>
    <w:qFormat/>
    <w:rsid w:val="00d22f6d"/>
    <w:rPr>
      <w:i/>
      <w:iCs/>
    </w:rPr>
  </w:style>
  <w:style w:type="character" w:styleId="21" w:customStyle="1">
    <w:name w:val="Цитата 2 Знак"/>
    <w:link w:val="Quote"/>
    <w:uiPriority w:val="29"/>
    <w:qFormat/>
    <w:rsid w:val="00d22f6d"/>
    <w:rPr>
      <w:rFonts w:ascii="Calibri" w:hAnsi="Calibri" w:eastAsia="Calibri"/>
      <w:i/>
      <w:iCs/>
      <w:color w:val="000000"/>
      <w:lang w:val="x-none" w:eastAsia="x-none"/>
    </w:rPr>
  </w:style>
  <w:style w:type="character" w:styleId="Style3" w:customStyle="1">
    <w:name w:val="Выделенная цитата Знак"/>
    <w:link w:val="IntenseQuote"/>
    <w:uiPriority w:val="30"/>
    <w:qFormat/>
    <w:rsid w:val="00d22f6d"/>
    <w:rPr>
      <w:rFonts w:ascii="Calibri" w:hAnsi="Calibri" w:eastAsia="Calibri"/>
      <w:b/>
      <w:bCs/>
      <w:i/>
      <w:iCs/>
      <w:color w:val="4F81BD"/>
      <w:lang w:val="x-none" w:eastAsia="x-none"/>
    </w:rPr>
  </w:style>
  <w:style w:type="character" w:styleId="SubtleEmphasis">
    <w:name w:val="Subtle Emphasis"/>
    <w:uiPriority w:val="19"/>
    <w:qFormat/>
    <w:rsid w:val="00d22f6d"/>
    <w:rPr>
      <w:i/>
      <w:iCs/>
      <w:color w:val="808080"/>
    </w:rPr>
  </w:style>
  <w:style w:type="character" w:styleId="IntenseEmphasis">
    <w:name w:val="Intense Emphasis"/>
    <w:uiPriority w:val="21"/>
    <w:qFormat/>
    <w:rsid w:val="00d22f6d"/>
    <w:rPr>
      <w:b/>
      <w:bCs/>
      <w:i/>
      <w:iCs/>
      <w:color w:val="4F81BD"/>
    </w:rPr>
  </w:style>
  <w:style w:type="character" w:styleId="SubtleReference">
    <w:name w:val="Subtle Reference"/>
    <w:uiPriority w:val="31"/>
    <w:qFormat/>
    <w:rsid w:val="00d22f6d"/>
    <w:rPr>
      <w:smallCaps/>
      <w:color w:val="C0504D"/>
      <w:u w:val="single"/>
    </w:rPr>
  </w:style>
  <w:style w:type="character" w:styleId="IntenseReference">
    <w:name w:val="Intense Reference"/>
    <w:uiPriority w:val="32"/>
    <w:qFormat/>
    <w:rsid w:val="00d22f6d"/>
    <w:rPr>
      <w:b/>
      <w:bCs/>
      <w:smallCaps/>
      <w:color w:val="C0504D"/>
      <w:spacing w:val="5"/>
      <w:u w:val="single"/>
    </w:rPr>
  </w:style>
  <w:style w:type="character" w:styleId="BookTitle">
    <w:name w:val="Book Title"/>
    <w:uiPriority w:val="33"/>
    <w:qFormat/>
    <w:rsid w:val="00d22f6d"/>
    <w:rPr>
      <w:b/>
      <w:bCs/>
      <w:smallCaps/>
      <w:spacing w:val="5"/>
    </w:rPr>
  </w:style>
  <w:style w:type="character" w:styleId="Style4" w:customStyle="1">
    <w:name w:val="Электронная подпись Знак"/>
    <w:link w:val="E-mailSignature"/>
    <w:uiPriority w:val="99"/>
    <w:qFormat/>
    <w:rsid w:val="00d22f6d"/>
    <w:rPr>
      <w:rFonts w:eastAsia="Calibri"/>
      <w:sz w:val="24"/>
      <w:szCs w:val="24"/>
    </w:rPr>
  </w:style>
  <w:style w:type="character" w:styleId="11" w:customStyle="1">
    <w:name w:val="Подпункт Знак1"/>
    <w:link w:val="Style21"/>
    <w:qFormat/>
    <w:locked/>
    <w:rsid w:val="00d22f6d"/>
    <w:rPr>
      <w:sz w:val="28"/>
    </w:rPr>
  </w:style>
  <w:style w:type="character" w:styleId="Style5" w:customStyle="1">
    <w:name w:val="Текст сноски Знак"/>
    <w:uiPriority w:val="99"/>
    <w:qFormat/>
    <w:rsid w:val="00d22f6d"/>
    <w:rPr/>
  </w:style>
  <w:style w:type="character" w:styleId="Style6" w:customStyle="1">
    <w:name w:val="Основной текст Знак"/>
    <w:qFormat/>
    <w:rsid w:val="004459a5"/>
    <w:rPr>
      <w:sz w:val="28"/>
      <w:szCs w:val="28"/>
    </w:rPr>
  </w:style>
  <w:style w:type="character" w:styleId="Blk" w:customStyle="1">
    <w:name w:val="blk"/>
    <w:qFormat/>
    <w:rsid w:val="00431ace"/>
    <w:rPr/>
  </w:style>
  <w:style w:type="character" w:styleId="Style7" w:customStyle="1">
    <w:name w:val="Абзац списка Знак"/>
    <w:link w:val="ListParagraph"/>
    <w:uiPriority w:val="34"/>
    <w:qFormat/>
    <w:locked/>
    <w:rsid w:val="00310eb4"/>
    <w:rPr>
      <w:rFonts w:eastAsia="Calibri"/>
      <w:sz w:val="24"/>
      <w:szCs w:val="24"/>
    </w:rPr>
  </w:style>
  <w:style w:type="character" w:styleId="Style8" w:customStyle="1">
    <w:name w:val="комментарий"/>
    <w:qFormat/>
    <w:rsid w:val="0025139e"/>
    <w:rPr>
      <w:b/>
      <w:i/>
      <w:shd w:fill="FFFF99" w:val="clear"/>
    </w:rPr>
  </w:style>
  <w:style w:type="character" w:styleId="Style9" w:customStyle="1">
    <w:name w:val="Подподпункт Знак"/>
    <w:link w:val="Style29"/>
    <w:qFormat/>
    <w:locked/>
    <w:rsid w:val="0025139e"/>
    <w:rPr>
      <w:sz w:val="26"/>
      <w:szCs w:val="26"/>
    </w:rPr>
  </w:style>
  <w:style w:type="character" w:styleId="31" w:customStyle="1">
    <w:name w:val="УРОВЕНЬ_Абзац_тип3 Знак"/>
    <w:link w:val="36"/>
    <w:qFormat/>
    <w:rsid w:val="00b56f46"/>
    <w:rPr>
      <w:rFonts w:eastAsia="Calibri"/>
      <w:sz w:val="26"/>
      <w:szCs w:val="28"/>
      <w:lang w:eastAsia="en-US"/>
    </w:rPr>
  </w:style>
  <w:style w:type="character" w:styleId="Style10" w:customStyle="1">
    <w:name w:val="Верхний колонтитул Знак"/>
    <w:uiPriority w:val="99"/>
    <w:qFormat/>
    <w:rsid w:val="002f31af"/>
    <w:rPr>
      <w:sz w:val="24"/>
      <w:szCs w:val="24"/>
    </w:rPr>
  </w:style>
  <w:style w:type="character" w:styleId="Style11" w:customStyle="1">
    <w:name w:val="Текст примечания Знак"/>
    <w:link w:val="Annotationtext"/>
    <w:qFormat/>
    <w:rsid w:val="00dc0f7d"/>
    <w:rPr/>
  </w:style>
  <w:style w:type="character" w:styleId="Style12" w:customStyle="1">
    <w:name w:val="Текст концевой сноски Знак"/>
    <w:basedOn w:val="DefaultParagraphFont"/>
    <w:qFormat/>
    <w:rsid w:val="003879d4"/>
    <w:rPr/>
  </w:style>
  <w:style w:type="character" w:styleId="Style13" w:customStyle="1">
    <w:name w:val="Символ концевой сноски"/>
    <w:qFormat/>
    <w:rsid w:val="003879d4"/>
    <w:rPr>
      <w:vertAlign w:val="superscript"/>
    </w:rPr>
  </w:style>
  <w:style w:type="character" w:styleId="EndnoteReference">
    <w:name w:val="Endnote Reference"/>
    <w:rPr>
      <w:vertAlign w:val="superscript"/>
    </w:rPr>
  </w:style>
  <w:style w:type="character" w:styleId="22" w:customStyle="1">
    <w:name w:val="Пункт2 Знак"/>
    <w:link w:val="24"/>
    <w:qFormat/>
    <w:rsid w:val="00de52bc"/>
    <w:rPr>
      <w:b/>
      <w:sz w:val="28"/>
    </w:rPr>
  </w:style>
  <w:style w:type="character" w:styleId="12" w:customStyle="1">
    <w:name w:val="УРОВЕНЬ_1. Знак"/>
    <w:link w:val="19"/>
    <w:qFormat/>
    <w:rsid w:val="004a17ae"/>
    <w:rPr>
      <w:rFonts w:eastAsia="Calibri"/>
      <w:caps/>
      <w:sz w:val="28"/>
      <w:szCs w:val="28"/>
      <w:lang w:eastAsia="en-US"/>
    </w:rPr>
  </w:style>
  <w:style w:type="character" w:styleId="13" w:customStyle="1">
    <w:name w:val="Неразрешенное упоминание1"/>
    <w:basedOn w:val="DefaultParagraphFont"/>
    <w:uiPriority w:val="99"/>
    <w:semiHidden/>
    <w:unhideWhenUsed/>
    <w:qFormat/>
    <w:rsid w:val="00c36f30"/>
    <w:rPr>
      <w:color w:val="605E5C"/>
      <w:shd w:fill="E1DFDD" w:val="clear"/>
    </w:rPr>
  </w:style>
  <w:style w:type="character" w:styleId="32" w:customStyle="1">
    <w:name w:val="Основной текст с отступом 3 Знак"/>
    <w:link w:val="BodyTextIndent3"/>
    <w:qFormat/>
    <w:rsid w:val="00c36f30"/>
    <w:rPr>
      <w:sz w:val="16"/>
      <w:szCs w:val="16"/>
    </w:rPr>
  </w:style>
  <w:style w:type="character" w:styleId="FollowedHyperlink">
    <w:name w:val="FollowedHyperlink"/>
    <w:basedOn w:val="DefaultParagraphFont"/>
    <w:uiPriority w:val="99"/>
    <w:semiHidden/>
    <w:unhideWhenUsed/>
    <w:rsid w:val="009c49dd"/>
    <w:rPr>
      <w:color w:val="954F72"/>
      <w:u w:val="single"/>
    </w:rPr>
  </w:style>
  <w:style w:type="character" w:styleId="Linenumber1" w:customStyle="1">
    <w:name w:val="line number1"/>
    <w:qFormat/>
    <w:rPr/>
  </w:style>
  <w:style w:type="character" w:styleId="Style14" w:customStyle="1">
    <w:name w:val="Ссылка указателя"/>
    <w:qFormat/>
    <w:rPr/>
  </w:style>
  <w:style w:type="character" w:styleId="Linenumber2" w:customStyle="1">
    <w:name w:val="line number2"/>
    <w:qFormat/>
    <w:rPr/>
  </w:style>
  <w:style w:type="character" w:styleId="Linenumber">
    <w:name w:val="line number"/>
    <w:qFormat/>
    <w:rPr/>
  </w:style>
  <w:style w:type="paragraph" w:styleId="Style15">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link w:val="Style6"/>
    <w:rsid w:val="0076353a"/>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Style16">
    <w:name w:val="Указатель"/>
    <w:basedOn w:val="Normal"/>
    <w:qFormat/>
    <w:pPr>
      <w:suppressLineNumbers/>
    </w:pPr>
    <w:rPr/>
  </w:style>
  <w:style w:type="paragraph" w:styleId="Title">
    <w:name w:val="Title"/>
    <w:basedOn w:val="Normal"/>
    <w:next w:val="BodyText"/>
    <w:qFormat/>
    <w:pPr>
      <w:keepNext w:val="true"/>
      <w:spacing w:before="240" w:after="120"/>
    </w:pPr>
    <w:rPr>
      <w:rFonts w:ascii="Liberation Sans" w:hAnsi="Liberation Sans" w:eastAsia="Arial Unicode MS" w:cs="Arial Unicode MS"/>
    </w:rPr>
  </w:style>
  <w:style w:type="paragraph" w:styleId="Caption1">
    <w:name w:val="caption1"/>
    <w:basedOn w:val="Normal"/>
    <w:qFormat/>
    <w:pPr>
      <w:suppressLineNumbers/>
      <w:spacing w:before="120" w:after="120"/>
    </w:pPr>
    <w:rPr>
      <w:i/>
      <w:iCs/>
      <w:sz w:val="24"/>
      <w:szCs w:val="24"/>
    </w:rPr>
  </w:style>
  <w:style w:type="paragraph" w:styleId="Indexheading1">
    <w:name w:val="index heading1"/>
    <w:basedOn w:val="Title"/>
    <w:qFormat/>
    <w:pPr/>
    <w:rPr/>
  </w:style>
  <w:style w:type="paragraph" w:styleId="Caption11" w:customStyle="1">
    <w:name w:val="caption11"/>
    <w:basedOn w:val="Normal"/>
    <w:qFormat/>
    <w:pPr>
      <w:suppressLineNumbers/>
      <w:spacing w:before="120" w:after="120"/>
    </w:pPr>
    <w:rPr>
      <w:i/>
      <w:iCs/>
      <w:sz w:val="24"/>
      <w:szCs w:val="24"/>
    </w:rPr>
  </w:style>
  <w:style w:type="paragraph" w:styleId="Indexheading11" w:customStyle="1">
    <w:name w:val="index heading11"/>
    <w:basedOn w:val="Title"/>
    <w:qFormat/>
    <w:pPr/>
    <w:rPr/>
  </w:style>
  <w:style w:type="paragraph" w:styleId="Caption111" w:customStyle="1">
    <w:name w:val="caption111"/>
    <w:basedOn w:val="Normal"/>
    <w:qFormat/>
    <w:pPr>
      <w:suppressLineNumbers/>
      <w:spacing w:before="120" w:after="120"/>
    </w:pPr>
    <w:rPr>
      <w:i/>
      <w:iCs/>
      <w:sz w:val="24"/>
      <w:szCs w:val="24"/>
    </w:rPr>
  </w:style>
  <w:style w:type="paragraph" w:styleId="Indexheading111" w:customStyle="1">
    <w:name w:val="index heading111"/>
    <w:basedOn w:val="Title"/>
    <w:qFormat/>
    <w:pPr/>
    <w:rPr/>
  </w:style>
  <w:style w:type="paragraph" w:styleId="Caption1111" w:customStyle="1">
    <w:name w:val="caption1111"/>
    <w:basedOn w:val="Normal"/>
    <w:qFormat/>
    <w:pPr>
      <w:suppressLineNumbers/>
      <w:spacing w:before="120" w:after="120"/>
    </w:pPr>
    <w:rPr>
      <w:i/>
      <w:iCs/>
      <w:sz w:val="24"/>
      <w:szCs w:val="24"/>
    </w:rPr>
  </w:style>
  <w:style w:type="paragraph" w:styleId="Indexheading1111" w:customStyle="1">
    <w:name w:val="index heading1111"/>
    <w:basedOn w:val="Title"/>
    <w:qFormat/>
    <w:pPr/>
    <w:rPr/>
  </w:style>
  <w:style w:type="paragraph" w:styleId="Caption11111" w:customStyle="1">
    <w:name w:val="caption11111"/>
    <w:basedOn w:val="Normal"/>
    <w:qFormat/>
    <w:pPr>
      <w:suppressLineNumbers/>
      <w:spacing w:before="120" w:after="120"/>
    </w:pPr>
    <w:rPr>
      <w:i/>
      <w:iCs/>
      <w:sz w:val="24"/>
      <w:szCs w:val="24"/>
    </w:rPr>
  </w:style>
  <w:style w:type="paragraph" w:styleId="Indexheading11111" w:customStyle="1">
    <w:name w:val="index heading11111"/>
    <w:basedOn w:val="Title"/>
    <w:qFormat/>
    <w:pPr/>
    <w:rPr/>
  </w:style>
  <w:style w:type="paragraph" w:styleId="Caption111111" w:customStyle="1">
    <w:name w:val="caption111111"/>
    <w:basedOn w:val="Normal"/>
    <w:qFormat/>
    <w:pPr>
      <w:suppressLineNumbers/>
      <w:spacing w:before="120" w:after="120"/>
    </w:pPr>
    <w:rPr>
      <w:i/>
      <w:iCs/>
      <w:sz w:val="24"/>
      <w:szCs w:val="24"/>
    </w:rPr>
  </w:style>
  <w:style w:type="paragraph" w:styleId="Indexheading111111" w:customStyle="1">
    <w:name w:val="index heading111111"/>
    <w:basedOn w:val="Title"/>
    <w:qFormat/>
    <w:pPr/>
    <w:rPr/>
  </w:style>
  <w:style w:type="paragraph" w:styleId="Caption1111111" w:customStyle="1">
    <w:name w:val="caption1111111"/>
    <w:basedOn w:val="Normal"/>
    <w:qFormat/>
    <w:pPr>
      <w:suppressLineNumbers/>
      <w:spacing w:before="120" w:after="120"/>
    </w:pPr>
    <w:rPr>
      <w:i/>
      <w:iCs/>
      <w:sz w:val="24"/>
      <w:szCs w:val="24"/>
    </w:rPr>
  </w:style>
  <w:style w:type="paragraph" w:styleId="Indexheading1111111" w:customStyle="1">
    <w:name w:val="index heading1111111"/>
    <w:basedOn w:val="Title"/>
    <w:qFormat/>
    <w:pPr/>
    <w:rPr/>
  </w:style>
  <w:style w:type="paragraph" w:styleId="Caption11111111" w:customStyle="1">
    <w:name w:val="caption11111111"/>
    <w:basedOn w:val="Normal"/>
    <w:qFormat/>
    <w:pPr>
      <w:suppressLineNumbers/>
      <w:spacing w:before="120" w:after="120"/>
    </w:pPr>
    <w:rPr>
      <w:i/>
      <w:iCs/>
      <w:sz w:val="24"/>
      <w:szCs w:val="24"/>
    </w:rPr>
  </w:style>
  <w:style w:type="paragraph" w:styleId="Indexheading11111111" w:customStyle="1">
    <w:name w:val="index heading11111111"/>
    <w:basedOn w:val="Title"/>
    <w:qFormat/>
    <w:pPr/>
    <w:rPr/>
  </w:style>
  <w:style w:type="paragraph" w:styleId="Caption111111111" w:customStyle="1">
    <w:name w:val="caption111111111"/>
    <w:basedOn w:val="Normal"/>
    <w:qFormat/>
    <w:pPr>
      <w:suppressLineNumbers/>
      <w:spacing w:before="120" w:after="120"/>
    </w:pPr>
    <w:rPr>
      <w:i/>
      <w:iCs/>
      <w:sz w:val="24"/>
      <w:szCs w:val="24"/>
    </w:rPr>
  </w:style>
  <w:style w:type="paragraph" w:styleId="Indexheading111111111" w:customStyle="1">
    <w:name w:val="index heading111111111"/>
    <w:basedOn w:val="Title"/>
    <w:qFormat/>
    <w:pPr/>
    <w:rPr/>
  </w:style>
  <w:style w:type="paragraph" w:styleId="Style17" w:customStyle="1">
    <w:name w:val="Название раздела инструкции"/>
    <w:basedOn w:val="Normal"/>
    <w:autoRedefine/>
    <w:qFormat/>
    <w:rsid w:val="00275328"/>
    <w:pPr>
      <w:jc w:val="center"/>
    </w:pPr>
    <w:rPr>
      <w:b/>
    </w:rPr>
  </w:style>
  <w:style w:type="paragraph" w:styleId="Style18" w:customStyle="1">
    <w:name w:val="Раздел положения"/>
    <w:basedOn w:val="Normal"/>
    <w:autoRedefine/>
    <w:qFormat/>
    <w:rsid w:val="007475ee"/>
    <w:pPr>
      <w:numPr>
        <w:ilvl w:val="0"/>
        <w:numId w:val="1"/>
      </w:numPr>
      <w:spacing w:before="80" w:after="80"/>
      <w:jc w:val="center"/>
    </w:pPr>
    <w:rPr>
      <w:b/>
      <w:sz w:val="32"/>
      <w:szCs w:val="32"/>
    </w:rPr>
  </w:style>
  <w:style w:type="paragraph" w:styleId="Style19" w:customStyle="1">
    <w:name w:val="Подраздел раздела положения"/>
    <w:basedOn w:val="Normal"/>
    <w:autoRedefine/>
    <w:qFormat/>
    <w:rsid w:val="007475ee"/>
    <w:pPr>
      <w:numPr>
        <w:ilvl w:val="1"/>
        <w:numId w:val="1"/>
      </w:numPr>
      <w:spacing w:before="80" w:after="80"/>
      <w:jc w:val="both"/>
    </w:pPr>
    <w:rPr/>
  </w:style>
  <w:style w:type="paragraph" w:styleId="FootnoteText">
    <w:name w:val="Footnote Text"/>
    <w:basedOn w:val="Normal"/>
    <w:link w:val="Style5"/>
    <w:uiPriority w:val="99"/>
    <w:rsid w:val="00d561d9"/>
    <w:pPr/>
    <w:rPr>
      <w:sz w:val="20"/>
      <w:szCs w:val="20"/>
    </w:rPr>
  </w:style>
  <w:style w:type="paragraph" w:styleId="14" w:customStyle="1">
    <w:name w:val="Шапка 1"/>
    <w:basedOn w:val="Normal"/>
    <w:qFormat/>
    <w:rsid w:val="00d561d9"/>
    <w:pPr>
      <w:pBdr>
        <w:bottom w:val="thickThinSmallGap" w:sz="24" w:space="1" w:color="000000"/>
      </w:pBdr>
      <w:spacing w:before="0" w:after="240"/>
      <w:jc w:val="center"/>
    </w:pPr>
    <w:rPr>
      <w:sz w:val="22"/>
      <w:szCs w:val="22"/>
    </w:rPr>
  </w:style>
  <w:style w:type="paragraph" w:styleId="23" w:customStyle="1">
    <w:name w:val="Шапка 2"/>
    <w:basedOn w:val="Normal"/>
    <w:qFormat/>
    <w:rsid w:val="00d561d9"/>
    <w:pPr>
      <w:pBdr>
        <w:bottom w:val="thickThinSmallGap" w:sz="24" w:space="1" w:color="000000"/>
      </w:pBdr>
      <w:spacing w:before="0" w:after="120"/>
      <w:jc w:val="center"/>
    </w:pPr>
    <w:rPr>
      <w:b/>
      <w:sz w:val="22"/>
      <w:szCs w:val="22"/>
    </w:rPr>
  </w:style>
  <w:style w:type="paragraph" w:styleId="33" w:customStyle="1">
    <w:name w:val="Шапка 3"/>
    <w:basedOn w:val="Normal"/>
    <w:qFormat/>
    <w:rsid w:val="00d561d9"/>
    <w:pPr>
      <w:pBdr>
        <w:bottom w:val="thickThinSmallGap" w:sz="24" w:space="1" w:color="000000"/>
      </w:pBdr>
      <w:spacing w:before="240" w:after="360"/>
      <w:jc w:val="center"/>
    </w:pPr>
    <w:rPr>
      <w:b/>
      <w:sz w:val="24"/>
      <w:szCs w:val="24"/>
    </w:rPr>
  </w:style>
  <w:style w:type="paragraph" w:styleId="15" w:customStyle="1">
    <w:name w:val="Название1"/>
    <w:basedOn w:val="Normal"/>
    <w:link w:val="Style1"/>
    <w:uiPriority w:val="10"/>
    <w:qFormat/>
    <w:rsid w:val="00bd4014"/>
    <w:pPr>
      <w:jc w:val="center"/>
    </w:pPr>
    <w:rPr>
      <w:szCs w:val="20"/>
      <w:lang w:val="x-none" w:eastAsia="x-none"/>
    </w:rPr>
  </w:style>
  <w:style w:type="paragraph" w:styleId="Style20" w:customStyle="1">
    <w:name w:val="Колонтитул"/>
    <w:basedOn w:val="Normal"/>
    <w:qFormat/>
    <w:pPr/>
    <w:rPr/>
  </w:style>
  <w:style w:type="paragraph" w:styleId="Header">
    <w:name w:val="Header"/>
    <w:basedOn w:val="Normal"/>
    <w:link w:val="Style10"/>
    <w:rsid w:val="0076353a"/>
    <w:pPr>
      <w:tabs>
        <w:tab w:val="clear" w:pos="708"/>
        <w:tab w:val="center" w:pos="4677" w:leader="none"/>
        <w:tab w:val="right" w:pos="9355" w:leader="none"/>
      </w:tabs>
    </w:pPr>
    <w:rPr>
      <w:sz w:val="24"/>
      <w:szCs w:val="24"/>
    </w:rPr>
  </w:style>
  <w:style w:type="paragraph" w:styleId="BodyTextIndent">
    <w:name w:val="Body Text Indent"/>
    <w:basedOn w:val="Normal"/>
    <w:rsid w:val="0076353a"/>
    <w:pPr>
      <w:ind w:left="360" w:hanging="0"/>
    </w:pPr>
    <w:rPr>
      <w:sz w:val="24"/>
      <w:szCs w:val="24"/>
    </w:rPr>
  </w:style>
  <w:style w:type="paragraph" w:styleId="Footer">
    <w:name w:val="Footer"/>
    <w:basedOn w:val="Normal"/>
    <w:rsid w:val="0076353a"/>
    <w:pPr>
      <w:tabs>
        <w:tab w:val="clear" w:pos="708"/>
        <w:tab w:val="center" w:pos="4677" w:leader="none"/>
        <w:tab w:val="right" w:pos="9355" w:leader="none"/>
      </w:tabs>
    </w:pPr>
    <w:rPr/>
  </w:style>
  <w:style w:type="paragraph" w:styleId="BodyTextIndent2">
    <w:name w:val="Body Text Indent 2"/>
    <w:basedOn w:val="Normal"/>
    <w:qFormat/>
    <w:rsid w:val="0076353a"/>
    <w:pPr>
      <w:spacing w:lineRule="auto" w:line="480" w:before="0" w:after="120"/>
      <w:ind w:left="283" w:hanging="0"/>
    </w:pPr>
    <w:rPr/>
  </w:style>
  <w:style w:type="paragraph" w:styleId="BodyText3">
    <w:name w:val="Body Text 3"/>
    <w:basedOn w:val="Normal"/>
    <w:qFormat/>
    <w:rsid w:val="0076353a"/>
    <w:pPr>
      <w:spacing w:before="0" w:after="120"/>
    </w:pPr>
    <w:rPr>
      <w:sz w:val="16"/>
      <w:szCs w:val="16"/>
    </w:rPr>
  </w:style>
  <w:style w:type="paragraph" w:styleId="BodyTextIndent3">
    <w:name w:val="Body Text Indent 3"/>
    <w:basedOn w:val="Normal"/>
    <w:link w:val="32"/>
    <w:qFormat/>
    <w:rsid w:val="0076353a"/>
    <w:pPr>
      <w:spacing w:before="0" w:after="120"/>
      <w:ind w:left="283" w:hanging="0"/>
    </w:pPr>
    <w:rPr>
      <w:sz w:val="16"/>
      <w:szCs w:val="16"/>
    </w:rPr>
  </w:style>
  <w:style w:type="paragraph" w:styleId="BodyText2">
    <w:name w:val="Body Text 2"/>
    <w:basedOn w:val="Normal"/>
    <w:qFormat/>
    <w:rsid w:val="0076353a"/>
    <w:pPr>
      <w:spacing w:lineRule="auto" w:line="480" w:before="0" w:after="120"/>
    </w:pPr>
    <w:rPr/>
  </w:style>
  <w:style w:type="paragraph" w:styleId="BlockText">
    <w:name w:val="Block Text"/>
    <w:basedOn w:val="Normal"/>
    <w:qFormat/>
    <w:rsid w:val="0076353a"/>
    <w:pPr>
      <w:ind w:left="-567" w:right="-766" w:hanging="0"/>
      <w:jc w:val="center"/>
    </w:pPr>
    <w:rPr>
      <w:b/>
      <w:bCs/>
      <w:sz w:val="24"/>
      <w:szCs w:val="20"/>
    </w:rPr>
  </w:style>
  <w:style w:type="paragraph" w:styleId="Style21" w:customStyle="1">
    <w:name w:val="Подпункт"/>
    <w:basedOn w:val="Normal"/>
    <w:link w:val="11"/>
    <w:qFormat/>
    <w:rsid w:val="0076353a"/>
    <w:pPr>
      <w:tabs>
        <w:tab w:val="clear" w:pos="708"/>
        <w:tab w:val="left" w:pos="1134" w:leader="none"/>
      </w:tabs>
      <w:snapToGrid w:val="false"/>
      <w:spacing w:lineRule="auto" w:line="360"/>
      <w:ind w:left="1134" w:hanging="1134"/>
      <w:jc w:val="both"/>
    </w:pPr>
    <w:rPr>
      <w:szCs w:val="20"/>
      <w:lang w:val="x-none" w:eastAsia="x-none"/>
    </w:rPr>
  </w:style>
  <w:style w:type="paragraph" w:styleId="24" w:customStyle="1">
    <w:name w:val="Пункт2"/>
    <w:basedOn w:val="Normal"/>
    <w:link w:val="22"/>
    <w:qFormat/>
    <w:rsid w:val="0076353a"/>
    <w:pPr>
      <w:keepNext w:val="true"/>
      <w:tabs>
        <w:tab w:val="clear" w:pos="708"/>
        <w:tab w:val="left" w:pos="1134" w:leader="none"/>
      </w:tabs>
      <w:snapToGrid w:val="false"/>
      <w:spacing w:before="240" w:after="120"/>
      <w:ind w:left="1134" w:hanging="1134"/>
      <w:outlineLvl w:val="2"/>
    </w:pPr>
    <w:rPr>
      <w:b/>
      <w:szCs w:val="20"/>
    </w:rPr>
  </w:style>
  <w:style w:type="paragraph" w:styleId="TOC1">
    <w:name w:val="TOC 1"/>
    <w:basedOn w:val="Normal"/>
    <w:next w:val="Normal"/>
    <w:autoRedefine/>
    <w:uiPriority w:val="39"/>
    <w:rsid w:val="0069422a"/>
    <w:pPr>
      <w:tabs>
        <w:tab w:val="clear" w:pos="708"/>
        <w:tab w:val="right" w:pos="9911" w:leader="dot"/>
      </w:tabs>
      <w:spacing w:before="120" w:after="0"/>
    </w:pPr>
    <w:rPr>
      <w:rFonts w:cs="calibri light (Заголовки)"/>
      <w:b/>
      <w:bCs/>
      <w:sz w:val="24"/>
      <w:szCs w:val="24"/>
    </w:rPr>
  </w:style>
  <w:style w:type="paragraph" w:styleId="TOC3">
    <w:name w:val="TOC 3"/>
    <w:basedOn w:val="Normal"/>
    <w:next w:val="Normal"/>
    <w:autoRedefine/>
    <w:uiPriority w:val="39"/>
    <w:rsid w:val="00965c58"/>
    <w:pPr>
      <w:tabs>
        <w:tab w:val="clear" w:pos="708"/>
        <w:tab w:val="left" w:pos="1120" w:leader="none"/>
        <w:tab w:val="right" w:pos="9911" w:leader="dot"/>
      </w:tabs>
      <w:ind w:left="567" w:hanging="141"/>
    </w:pPr>
    <w:rPr>
      <w:rFonts w:cs="Calibri" w:cstheme="minorHAnsi"/>
      <w:sz w:val="20"/>
      <w:szCs w:val="20"/>
    </w:rPr>
  </w:style>
  <w:style w:type="paragraph" w:styleId="Style22" w:customStyle="1">
    <w:name w:val="Раздел регламента"/>
    <w:basedOn w:val="Normal"/>
    <w:qFormat/>
    <w:rsid w:val="00e228fa"/>
    <w:pPr/>
    <w:rPr/>
  </w:style>
  <w:style w:type="paragraph" w:styleId="Style23" w:customStyle="1">
    <w:name w:val="Приложение к регламенту"/>
    <w:basedOn w:val="Normal"/>
    <w:qFormat/>
    <w:rsid w:val="00e228fa"/>
    <w:pPr>
      <w:jc w:val="right"/>
    </w:pPr>
    <w:rPr/>
  </w:style>
  <w:style w:type="paragraph" w:styleId="TOC2">
    <w:name w:val="TOC 2"/>
    <w:basedOn w:val="Normal"/>
    <w:next w:val="Normal"/>
    <w:autoRedefine/>
    <w:uiPriority w:val="39"/>
    <w:rsid w:val="00c01756"/>
    <w:pPr>
      <w:spacing w:before="240" w:after="0"/>
    </w:pPr>
    <w:rPr>
      <w:rFonts w:cs="Calibri" w:cstheme="minorHAnsi"/>
      <w:b/>
      <w:bCs/>
      <w:sz w:val="20"/>
      <w:szCs w:val="20"/>
    </w:rPr>
  </w:style>
  <w:style w:type="paragraph" w:styleId="BalloonText">
    <w:name w:val="Balloon Text"/>
    <w:basedOn w:val="Normal"/>
    <w:semiHidden/>
    <w:qFormat/>
    <w:rsid w:val="00197c91"/>
    <w:pPr/>
    <w:rPr>
      <w:rFonts w:ascii="Tahoma" w:hAnsi="Tahoma" w:cs="Tahoma"/>
      <w:sz w:val="16"/>
      <w:szCs w:val="16"/>
    </w:rPr>
  </w:style>
  <w:style w:type="paragraph" w:styleId="Annotationtext">
    <w:name w:val="annotation text"/>
    <w:basedOn w:val="Normal"/>
    <w:link w:val="Style11"/>
    <w:qFormat/>
    <w:rsid w:val="00b714b0"/>
    <w:pPr/>
    <w:rPr>
      <w:sz w:val="20"/>
      <w:szCs w:val="20"/>
    </w:rPr>
  </w:style>
  <w:style w:type="paragraph" w:styleId="Annotationsubject">
    <w:name w:val="annotation subject"/>
    <w:basedOn w:val="Annotationtext"/>
    <w:next w:val="Annotationtext"/>
    <w:semiHidden/>
    <w:qFormat/>
    <w:rsid w:val="00b714b0"/>
    <w:pPr/>
    <w:rPr>
      <w:b/>
      <w:bCs/>
    </w:rPr>
  </w:style>
  <w:style w:type="paragraph" w:styleId="16" w:customStyle="1">
    <w:name w:val="Обычный (веб)1"/>
    <w:basedOn w:val="Normal"/>
    <w:uiPriority w:val="99"/>
    <w:qFormat/>
    <w:rsid w:val="002f559a"/>
    <w:pPr>
      <w:spacing w:beforeAutospacing="1" w:afterAutospacing="1"/>
    </w:pPr>
    <w:rPr>
      <w:rFonts w:ascii="Arial Unicode MS" w:hAnsi="Arial Unicode MS" w:eastAsia="Arial Unicode MS" w:cs="Arial Unicode MS"/>
      <w:sz w:val="24"/>
      <w:szCs w:val="24"/>
    </w:rPr>
  </w:style>
  <w:style w:type="paragraph" w:styleId="TOC9">
    <w:name w:val="TOC 9"/>
    <w:basedOn w:val="Normal"/>
    <w:next w:val="Normal"/>
    <w:autoRedefine/>
    <w:semiHidden/>
    <w:rsid w:val="00f57628"/>
    <w:pPr>
      <w:ind w:left="1960" w:hanging="0"/>
    </w:pPr>
    <w:rPr>
      <w:rFonts w:ascii="Calibri" w:hAnsi="Calibri" w:cs="Calibri" w:asciiTheme="minorHAnsi" w:cstheme="minorHAnsi" w:hAnsiTheme="minorHAnsi"/>
      <w:sz w:val="20"/>
      <w:szCs w:val="20"/>
    </w:rPr>
  </w:style>
  <w:style w:type="paragraph" w:styleId="TOC5">
    <w:name w:val="TOC 5"/>
    <w:basedOn w:val="Normal"/>
    <w:next w:val="Normal"/>
    <w:autoRedefine/>
    <w:semiHidden/>
    <w:rsid w:val="00f57628"/>
    <w:pPr>
      <w:ind w:left="840" w:hanging="0"/>
    </w:pPr>
    <w:rPr>
      <w:rFonts w:ascii="Calibri" w:hAnsi="Calibri" w:cs="Calibri" w:asciiTheme="minorHAnsi" w:cstheme="minorHAnsi" w:hAnsiTheme="minorHAnsi"/>
      <w:sz w:val="20"/>
      <w:szCs w:val="20"/>
    </w:rPr>
  </w:style>
  <w:style w:type="paragraph" w:styleId="TOC4">
    <w:name w:val="TOC 4"/>
    <w:basedOn w:val="Normal"/>
    <w:next w:val="Normal"/>
    <w:autoRedefine/>
    <w:uiPriority w:val="39"/>
    <w:rsid w:val="00c01756"/>
    <w:pPr>
      <w:ind w:left="560" w:hanging="0"/>
    </w:pPr>
    <w:rPr>
      <w:rFonts w:cs="Calibri" w:cstheme="minorHAnsi"/>
      <w:sz w:val="20"/>
      <w:szCs w:val="20"/>
    </w:rPr>
  </w:style>
  <w:style w:type="paragraph" w:styleId="25" w:customStyle="1">
    <w:name w:val="Раздел положения 2"/>
    <w:basedOn w:val="Normal"/>
    <w:qFormat/>
    <w:rsid w:val="002c1e0e"/>
    <w:pPr>
      <w:pageBreakBefore/>
      <w:jc w:val="both"/>
      <w:outlineLvl w:val="0"/>
    </w:pPr>
    <w:rPr>
      <w:b/>
    </w:rPr>
  </w:style>
  <w:style w:type="paragraph" w:styleId="Style24" w:customStyle="1">
    <w:name w:val="Знак Знак Знак Знак Знак Знак Знак Знак Знак"/>
    <w:basedOn w:val="Normal"/>
    <w:qFormat/>
    <w:rsid w:val="00d22f6d"/>
    <w:pPr>
      <w:spacing w:lineRule="exact" w:line="240" w:before="0" w:after="160"/>
      <w:jc w:val="both"/>
    </w:pPr>
    <w:rPr>
      <w:rFonts w:ascii="Verdana" w:hAnsi="Verdana" w:cs="Verdana"/>
      <w:sz w:val="22"/>
      <w:szCs w:val="22"/>
      <w:lang w:val="en-US" w:eastAsia="en-US"/>
    </w:rPr>
  </w:style>
  <w:style w:type="paragraph" w:styleId="NoSpacing">
    <w:name w:val="No Spacing"/>
    <w:basedOn w:val="Normal"/>
    <w:uiPriority w:val="1"/>
    <w:qFormat/>
    <w:rsid w:val="00d22f6d"/>
    <w:pPr>
      <w:spacing w:lineRule="auto" w:line="360"/>
    </w:pPr>
    <w:rPr>
      <w:rFonts w:eastAsia="Calibri"/>
      <w:sz w:val="24"/>
      <w:szCs w:val="24"/>
    </w:rPr>
  </w:style>
  <w:style w:type="paragraph" w:styleId="Caption1111111111" w:customStyle="1">
    <w:name w:val="caption1111111111"/>
    <w:basedOn w:val="Normal"/>
    <w:next w:val="Normal"/>
    <w:uiPriority w:val="35"/>
    <w:qFormat/>
    <w:rsid w:val="00d22f6d"/>
    <w:pPr/>
    <w:rPr>
      <w:rFonts w:eastAsia="Calibri"/>
      <w:b/>
      <w:bCs/>
      <w:color w:val="4F81BD"/>
      <w:sz w:val="18"/>
      <w:szCs w:val="18"/>
    </w:rPr>
  </w:style>
  <w:style w:type="paragraph" w:styleId="Subtitle">
    <w:name w:val="Subtitle"/>
    <w:basedOn w:val="Normal"/>
    <w:next w:val="Normal"/>
    <w:link w:val="Style2"/>
    <w:uiPriority w:val="11"/>
    <w:qFormat/>
    <w:rsid w:val="00d22f6d"/>
    <w:pPr>
      <w:numPr>
        <w:ilvl w:val="1"/>
      </w:numPr>
      <w:ind w:left="1066" w:firstLine="709"/>
    </w:pPr>
    <w:rPr>
      <w:rFonts w:ascii="Cambria" w:hAnsi="Cambria"/>
      <w:i/>
      <w:iCs/>
      <w:color w:val="4F81BD"/>
      <w:spacing w:val="15"/>
      <w:sz w:val="24"/>
      <w:szCs w:val="24"/>
      <w:lang w:val="x-none" w:eastAsia="x-none"/>
    </w:rPr>
  </w:style>
  <w:style w:type="paragraph" w:styleId="ListParagraph">
    <w:name w:val="List Paragraph"/>
    <w:basedOn w:val="Normal"/>
    <w:link w:val="Style7"/>
    <w:uiPriority w:val="34"/>
    <w:qFormat/>
    <w:rsid w:val="00d22f6d"/>
    <w:pPr>
      <w:spacing w:before="0" w:after="0"/>
      <w:ind w:left="720" w:hanging="0"/>
      <w:contextualSpacing/>
    </w:pPr>
    <w:rPr>
      <w:rFonts w:eastAsia="Calibri"/>
      <w:sz w:val="24"/>
      <w:szCs w:val="24"/>
    </w:rPr>
  </w:style>
  <w:style w:type="paragraph" w:styleId="Quote">
    <w:name w:val="Quote"/>
    <w:basedOn w:val="Normal"/>
    <w:next w:val="Normal"/>
    <w:link w:val="21"/>
    <w:uiPriority w:val="29"/>
    <w:qFormat/>
    <w:rsid w:val="00d22f6d"/>
    <w:pPr/>
    <w:rPr>
      <w:rFonts w:ascii="Calibri" w:hAnsi="Calibri" w:eastAsia="Calibri"/>
      <w:i/>
      <w:iCs/>
      <w:color w:val="000000"/>
      <w:sz w:val="20"/>
      <w:szCs w:val="20"/>
      <w:lang w:val="x-none" w:eastAsia="x-none"/>
    </w:rPr>
  </w:style>
  <w:style w:type="paragraph" w:styleId="IntenseQuote">
    <w:name w:val="Intense Quote"/>
    <w:basedOn w:val="Normal"/>
    <w:next w:val="Normal"/>
    <w:link w:val="Style3"/>
    <w:uiPriority w:val="30"/>
    <w:qFormat/>
    <w:rsid w:val="00d22f6d"/>
    <w:pPr>
      <w:pBdr>
        <w:bottom w:val="single" w:sz="4" w:space="4" w:color="4F81BD"/>
      </w:pBdr>
      <w:spacing w:before="200" w:after="280"/>
      <w:ind w:left="936" w:right="936" w:hanging="0"/>
    </w:pPr>
    <w:rPr>
      <w:rFonts w:ascii="Calibri" w:hAnsi="Calibri" w:eastAsia="Calibri"/>
      <w:b/>
      <w:bCs/>
      <w:i/>
      <w:iCs/>
      <w:color w:val="4F81BD"/>
      <w:sz w:val="20"/>
      <w:szCs w:val="20"/>
      <w:lang w:val="x-none" w:eastAsia="x-none"/>
    </w:rPr>
  </w:style>
  <w:style w:type="paragraph" w:styleId="IndexHeading">
    <w:name w:val="Index Heading"/>
    <w:basedOn w:val="Style15"/>
    <w:pPr/>
    <w:rPr/>
  </w:style>
  <w:style w:type="paragraph" w:styleId="TOCHeading">
    <w:name w:val="TOC Heading"/>
    <w:basedOn w:val="Heading1"/>
    <w:next w:val="Normal"/>
    <w:uiPriority w:val="39"/>
    <w:qFormat/>
    <w:rsid w:val="00d22f6d"/>
    <w:pPr>
      <w:keepLines/>
      <w:spacing w:before="480" w:after="60"/>
      <w:outlineLvl w:val="9"/>
    </w:pPr>
    <w:rPr>
      <w:rFonts w:ascii="Cambria" w:hAnsi="Cambria"/>
      <w:bCs/>
      <w:color w:val="365F91"/>
    </w:rPr>
  </w:style>
  <w:style w:type="paragraph" w:styleId="E-mailSignature">
    <w:name w:val="E-mail Signature"/>
    <w:basedOn w:val="Normal"/>
    <w:link w:val="Style4"/>
    <w:uiPriority w:val="99"/>
    <w:unhideWhenUsed/>
    <w:qFormat/>
    <w:rsid w:val="00d22f6d"/>
    <w:pPr/>
    <w:rPr>
      <w:rFonts w:eastAsia="Calibri"/>
      <w:sz w:val="24"/>
      <w:szCs w:val="24"/>
      <w:lang w:val="x-none" w:eastAsia="x-none"/>
    </w:rPr>
  </w:style>
  <w:style w:type="paragraph" w:styleId="Style25" w:customStyle="1">
    <w:name w:val="Знак"/>
    <w:basedOn w:val="Normal"/>
    <w:qFormat/>
    <w:rsid w:val="00d22f6d"/>
    <w:pPr>
      <w:spacing w:lineRule="exact" w:line="240" w:before="0" w:after="160"/>
    </w:pPr>
    <w:rPr>
      <w:rFonts w:ascii="Verdana" w:hAnsi="Verdana" w:cs="Verdana"/>
      <w:sz w:val="20"/>
      <w:szCs w:val="20"/>
      <w:lang w:val="en-US" w:eastAsia="en-US"/>
    </w:rPr>
  </w:style>
  <w:style w:type="paragraph" w:styleId="34" w:customStyle="1">
    <w:name w:val="Нумерованный список ур3"/>
    <w:basedOn w:val="Normal"/>
    <w:qFormat/>
    <w:rsid w:val="00d22f6d"/>
    <w:pPr>
      <w:numPr>
        <w:ilvl w:val="2"/>
        <w:numId w:val="2"/>
      </w:numPr>
      <w:jc w:val="both"/>
    </w:pPr>
    <w:rPr>
      <w:rFonts w:ascii="Garamond" w:hAnsi="Garamond"/>
      <w:sz w:val="24"/>
      <w:szCs w:val="20"/>
    </w:rPr>
  </w:style>
  <w:style w:type="paragraph" w:styleId="311" w:customStyle="1">
    <w:name w:val="Список 31"/>
    <w:basedOn w:val="Normal"/>
    <w:qFormat/>
    <w:rsid w:val="00d22f6d"/>
    <w:pPr>
      <w:numPr>
        <w:ilvl w:val="0"/>
        <w:numId w:val="2"/>
      </w:numPr>
      <w:spacing w:before="120" w:after="0"/>
      <w:jc w:val="both"/>
    </w:pPr>
    <w:rPr>
      <w:rFonts w:ascii="Garamond" w:hAnsi="Garamond"/>
      <w:sz w:val="24"/>
      <w:szCs w:val="20"/>
    </w:rPr>
  </w:style>
  <w:style w:type="paragraph" w:styleId="26" w:customStyle="1">
    <w:name w:val="Нумерованный список ур2"/>
    <w:basedOn w:val="Normal"/>
    <w:qFormat/>
    <w:rsid w:val="00d22f6d"/>
    <w:pPr>
      <w:numPr>
        <w:ilvl w:val="1"/>
        <w:numId w:val="2"/>
      </w:numPr>
      <w:spacing w:before="120" w:after="0"/>
      <w:jc w:val="both"/>
    </w:pPr>
    <w:rPr>
      <w:rFonts w:ascii="Garamond" w:hAnsi="Garamond"/>
      <w:sz w:val="24"/>
      <w:szCs w:val="20"/>
    </w:rPr>
  </w:style>
  <w:style w:type="paragraph" w:styleId="Revision">
    <w:name w:val="Revision"/>
    <w:uiPriority w:val="99"/>
    <w:semiHidden/>
    <w:qFormat/>
    <w:rsid w:val="00d22f6d"/>
    <w:pPr>
      <w:widowControl/>
      <w:suppressAutoHyphens w:val="true"/>
      <w:bidi w:val="0"/>
      <w:spacing w:before="0" w:after="0"/>
      <w:jc w:val="left"/>
    </w:pPr>
    <w:rPr>
      <w:rFonts w:eastAsia="Calibri" w:ascii="Times New Roman" w:hAnsi="Times New Roman" w:cs="Times New Roman"/>
      <w:color w:val="auto"/>
      <w:kern w:val="0"/>
      <w:sz w:val="24"/>
      <w:szCs w:val="24"/>
      <w:lang w:val="ru-RU" w:eastAsia="ru-RU" w:bidi="ar-SA"/>
    </w:rPr>
  </w:style>
  <w:style w:type="paragraph" w:styleId="ConsPlusNormal" w:customStyle="1">
    <w:name w:val="ConsPlusNormal"/>
    <w:qFormat/>
    <w:rsid w:val="00d22f6d"/>
    <w:pPr>
      <w:widowControl w:val="false"/>
      <w:suppressAutoHyphens w:val="true"/>
      <w:bidi w:val="0"/>
      <w:spacing w:before="0" w:after="0"/>
      <w:ind w:firstLine="720"/>
      <w:jc w:val="left"/>
    </w:pPr>
    <w:rPr>
      <w:rFonts w:ascii="Arial" w:hAnsi="Arial" w:cs="Arial" w:eastAsia="Times New Roman"/>
      <w:color w:val="auto"/>
      <w:kern w:val="0"/>
      <w:sz w:val="20"/>
      <w:szCs w:val="20"/>
      <w:lang w:val="ru-RU" w:eastAsia="ru-RU" w:bidi="ar-SA"/>
    </w:rPr>
  </w:style>
  <w:style w:type="paragraph" w:styleId="35" w:customStyle="1">
    <w:name w:val="Знак Знак3 Знак Знак"/>
    <w:basedOn w:val="Normal"/>
    <w:qFormat/>
    <w:rsid w:val="00d22f6d"/>
    <w:pPr>
      <w:spacing w:lineRule="exact" w:line="240" w:before="0" w:after="160"/>
      <w:jc w:val="both"/>
    </w:pPr>
    <w:rPr>
      <w:rFonts w:ascii="Verdana" w:hAnsi="Verdana" w:cs="Verdana"/>
      <w:sz w:val="22"/>
      <w:szCs w:val="22"/>
      <w:lang w:val="en-US" w:eastAsia="en-US"/>
    </w:rPr>
  </w:style>
  <w:style w:type="paragraph" w:styleId="Style26" w:customStyle="1">
    <w:name w:val="Пункт"/>
    <w:basedOn w:val="Normal"/>
    <w:qFormat/>
    <w:rsid w:val="00d22f6d"/>
    <w:pPr>
      <w:widowControl w:val="false"/>
      <w:tabs>
        <w:tab w:val="clear" w:pos="708"/>
        <w:tab w:val="left" w:pos="1134" w:leader="none"/>
      </w:tabs>
      <w:spacing w:lineRule="auto" w:line="360" w:before="120" w:after="0"/>
      <w:ind w:left="1134" w:right="800" w:hanging="1134"/>
      <w:jc w:val="both"/>
    </w:pPr>
    <w:rPr>
      <w:rFonts w:ascii="Arial" w:hAnsi="Arial"/>
      <w:b/>
      <w:i/>
      <w:szCs w:val="20"/>
    </w:rPr>
  </w:style>
  <w:style w:type="paragraph" w:styleId="17" w:customStyle="1">
    <w:name w:val="Абзац списка1"/>
    <w:basedOn w:val="Normal"/>
    <w:qFormat/>
    <w:rsid w:val="00d22f6d"/>
    <w:pPr>
      <w:spacing w:lineRule="auto" w:line="276" w:before="0" w:after="200"/>
      <w:ind w:left="720" w:hanging="0"/>
      <w:contextualSpacing/>
    </w:pPr>
    <w:rPr>
      <w:rFonts w:ascii="Calibri" w:hAnsi="Calibri"/>
      <w:sz w:val="22"/>
      <w:szCs w:val="22"/>
      <w:lang w:eastAsia="en-US"/>
    </w:rPr>
  </w:style>
  <w:style w:type="paragraph" w:styleId="Style27" w:customStyle="1">
    <w:name w:val="Таблица"/>
    <w:basedOn w:val="Normal"/>
    <w:qFormat/>
    <w:rsid w:val="0041356c"/>
    <w:pPr>
      <w:keepNext w:val="true"/>
      <w:spacing w:before="60" w:after="60"/>
      <w:jc w:val="center"/>
    </w:pPr>
    <w:rPr>
      <w:rFonts w:eastAsia="Calibri"/>
      <w:b/>
      <w:sz w:val="24"/>
      <w:szCs w:val="24"/>
      <w:lang w:val="x-none" w:eastAsia="x-none"/>
    </w:rPr>
  </w:style>
  <w:style w:type="paragraph" w:styleId="Style28" w:customStyle="1">
    <w:name w:val="Таблица шапка"/>
    <w:basedOn w:val="Normal"/>
    <w:qFormat/>
    <w:rsid w:val="00f64089"/>
    <w:pPr>
      <w:keepNext w:val="true"/>
      <w:spacing w:before="40" w:after="40"/>
      <w:ind w:left="57" w:right="57" w:hanging="0"/>
    </w:pPr>
    <w:rPr>
      <w:sz w:val="22"/>
      <w:szCs w:val="26"/>
    </w:rPr>
  </w:style>
  <w:style w:type="paragraph" w:styleId="Style29" w:customStyle="1">
    <w:name w:val="Подподпункт"/>
    <w:basedOn w:val="Style21"/>
    <w:link w:val="Style9"/>
    <w:qFormat/>
    <w:rsid w:val="0025139e"/>
    <w:pPr>
      <w:tabs>
        <w:tab w:val="clear" w:pos="1134"/>
        <w:tab w:val="left" w:pos="5104" w:leader="none"/>
      </w:tabs>
      <w:snapToGrid w:val="true"/>
      <w:spacing w:lineRule="auto" w:line="240" w:before="120" w:after="0"/>
      <w:ind w:left="5104" w:hanging="567"/>
    </w:pPr>
    <w:rPr>
      <w:sz w:val="26"/>
      <w:szCs w:val="26"/>
      <w:lang w:val="ru-RU" w:eastAsia="ru-RU"/>
    </w:rPr>
  </w:style>
  <w:style w:type="paragraph" w:styleId="Style30" w:customStyle="1">
    <w:name w:val="УРОВЕНЬ_(а)"/>
    <w:basedOn w:val="ListParagraph"/>
    <w:qFormat/>
    <w:rsid w:val="00b56f46"/>
    <w:pPr>
      <w:numPr>
        <w:ilvl w:val="3"/>
        <w:numId w:val="4"/>
      </w:numPr>
      <w:spacing w:lineRule="exact" w:line="360" w:before="120" w:after="0"/>
      <w:contextualSpacing w:val="false"/>
      <w:jc w:val="both"/>
      <w:outlineLvl w:val="3"/>
    </w:pPr>
    <w:rPr>
      <w:sz w:val="26"/>
      <w:szCs w:val="28"/>
      <w:lang w:eastAsia="en-US"/>
    </w:rPr>
  </w:style>
  <w:style w:type="paragraph" w:styleId="-" w:customStyle="1">
    <w:name w:val="УРОВЕНЬ_-"/>
    <w:basedOn w:val="ListParagraph"/>
    <w:qFormat/>
    <w:rsid w:val="00b56f46"/>
    <w:pPr>
      <w:numPr>
        <w:ilvl w:val="4"/>
        <w:numId w:val="4"/>
      </w:numPr>
      <w:spacing w:lineRule="exact" w:line="360" w:before="120" w:after="0"/>
      <w:contextualSpacing w:val="false"/>
      <w:jc w:val="both"/>
      <w:outlineLvl w:val="4"/>
    </w:pPr>
    <w:rPr>
      <w:sz w:val="26"/>
      <w:szCs w:val="28"/>
      <w:lang w:eastAsia="en-US"/>
    </w:rPr>
  </w:style>
  <w:style w:type="paragraph" w:styleId="27" w:customStyle="1">
    <w:name w:val="УРОВЕНЬ_Абзац_тип2"/>
    <w:basedOn w:val="ListParagraph"/>
    <w:qFormat/>
    <w:rsid w:val="00b56f46"/>
    <w:pPr>
      <w:numPr>
        <w:ilvl w:val="6"/>
        <w:numId w:val="4"/>
      </w:numPr>
      <w:spacing w:lineRule="exact" w:line="360" w:before="120" w:after="0"/>
      <w:contextualSpacing w:val="false"/>
      <w:jc w:val="both"/>
    </w:pPr>
    <w:rPr>
      <w:sz w:val="26"/>
      <w:szCs w:val="28"/>
      <w:lang w:eastAsia="en-US"/>
    </w:rPr>
  </w:style>
  <w:style w:type="paragraph" w:styleId="36" w:customStyle="1">
    <w:name w:val="УРОВЕНЬ_Абзац_тип3"/>
    <w:basedOn w:val="ListParagraph"/>
    <w:link w:val="31"/>
    <w:qFormat/>
    <w:rsid w:val="00b56f46"/>
    <w:pPr>
      <w:numPr>
        <w:ilvl w:val="7"/>
        <w:numId w:val="4"/>
      </w:numPr>
      <w:spacing w:lineRule="exact" w:line="360" w:before="120" w:after="0"/>
      <w:contextualSpacing w:val="false"/>
      <w:jc w:val="both"/>
    </w:pPr>
    <w:rPr>
      <w:sz w:val="26"/>
      <w:szCs w:val="28"/>
      <w:lang w:eastAsia="en-US"/>
    </w:rPr>
  </w:style>
  <w:style w:type="paragraph" w:styleId="Style31" w:customStyle="1">
    <w:name w:val="УРОВЕНЬ_Подпись"/>
    <w:basedOn w:val="ListParagraph"/>
    <w:qFormat/>
    <w:rsid w:val="00b56f46"/>
    <w:pPr>
      <w:keepNext w:val="true"/>
      <w:numPr>
        <w:ilvl w:val="5"/>
        <w:numId w:val="4"/>
      </w:numPr>
      <w:spacing w:lineRule="exact" w:line="360" w:before="120" w:after="120"/>
      <w:contextualSpacing w:val="false"/>
      <w:jc w:val="right"/>
      <w:outlineLvl w:val="3"/>
    </w:pPr>
    <w:rPr>
      <w:sz w:val="26"/>
      <w:szCs w:val="28"/>
      <w:lang w:eastAsia="en-US"/>
    </w:rPr>
  </w:style>
  <w:style w:type="paragraph" w:styleId="18" w:customStyle="1">
    <w:name w:val="Стиль Заголовок 1 + по ширине"/>
    <w:basedOn w:val="Heading1"/>
    <w:qFormat/>
    <w:rsid w:val="005773b2"/>
    <w:pPr>
      <w:keepLines/>
      <w:numPr>
        <w:ilvl w:val="0"/>
        <w:numId w:val="0"/>
      </w:numPr>
      <w:tabs>
        <w:tab w:val="clear" w:pos="708"/>
        <w:tab w:val="left" w:pos="567" w:leader="none"/>
      </w:tabs>
      <w:spacing w:before="480" w:after="240"/>
      <w:ind w:left="567" w:hanging="567"/>
      <w:jc w:val="both"/>
    </w:pPr>
    <w:rPr>
      <w:rFonts w:ascii="Arial" w:hAnsi="Arial" w:eastAsia="Times New Roman"/>
      <w:bCs/>
      <w:kern w:val="2"/>
      <w:sz w:val="40"/>
      <w:szCs w:val="20"/>
      <w:lang w:val="ru-RU" w:eastAsia="ru-RU"/>
    </w:rPr>
  </w:style>
  <w:style w:type="paragraph" w:styleId="EndnoteText">
    <w:name w:val="Endnote Text"/>
    <w:basedOn w:val="Normal"/>
    <w:link w:val="Style12"/>
    <w:rsid w:val="003879d4"/>
    <w:pPr/>
    <w:rPr>
      <w:sz w:val="20"/>
      <w:szCs w:val="20"/>
    </w:rPr>
  </w:style>
  <w:style w:type="paragraph" w:styleId="28" w:customStyle="1">
    <w:name w:val="Заголовок 2 КВВ"/>
    <w:basedOn w:val="Normal"/>
    <w:qFormat/>
    <w:rsid w:val="00cb35e8"/>
    <w:pPr>
      <w:keepNext w:val="true"/>
      <w:numPr>
        <w:ilvl w:val="0"/>
        <w:numId w:val="5"/>
      </w:numPr>
      <w:spacing w:before="120" w:after="120"/>
      <w:jc w:val="both"/>
      <w:outlineLvl w:val="0"/>
    </w:pPr>
    <w:rPr>
      <w:b/>
      <w:kern w:val="2"/>
      <w:sz w:val="24"/>
      <w:szCs w:val="20"/>
      <w:lang w:eastAsia="x-none"/>
    </w:rPr>
  </w:style>
  <w:style w:type="paragraph" w:styleId="Style32" w:customStyle="1">
    <w:name w:val="Таблица текст"/>
    <w:basedOn w:val="Normal"/>
    <w:qFormat/>
    <w:rsid w:val="00343e95"/>
    <w:pPr>
      <w:spacing w:before="40" w:after="40"/>
      <w:ind w:left="57" w:right="57" w:hanging="0"/>
    </w:pPr>
    <w:rPr>
      <w:sz w:val="24"/>
      <w:szCs w:val="26"/>
    </w:rPr>
  </w:style>
  <w:style w:type="paragraph" w:styleId="NormalWeb">
    <w:name w:val="Normal (Web)"/>
    <w:basedOn w:val="Normal"/>
    <w:uiPriority w:val="99"/>
    <w:unhideWhenUsed/>
    <w:qFormat/>
    <w:rsid w:val="00265d9f"/>
    <w:pPr>
      <w:spacing w:beforeAutospacing="1" w:afterAutospacing="1"/>
    </w:pPr>
    <w:rPr>
      <w:sz w:val="24"/>
      <w:szCs w:val="24"/>
    </w:rPr>
  </w:style>
  <w:style w:type="paragraph" w:styleId="19" w:customStyle="1">
    <w:name w:val="УРОВЕНЬ_1."/>
    <w:basedOn w:val="ListParagraph"/>
    <w:link w:val="12"/>
    <w:qFormat/>
    <w:rsid w:val="004a17ae"/>
    <w:pPr>
      <w:keepNext w:val="true"/>
      <w:keepLines/>
      <w:spacing w:lineRule="auto" w:line="276" w:before="240" w:after="120"/>
      <w:ind w:left="0" w:hanging="0"/>
      <w:contextualSpacing w:val="false"/>
      <w:jc w:val="both"/>
      <w:outlineLvl w:val="0"/>
    </w:pPr>
    <w:rPr>
      <w:caps/>
      <w:sz w:val="28"/>
      <w:szCs w:val="28"/>
      <w:lang w:eastAsia="en-US"/>
    </w:rPr>
  </w:style>
  <w:style w:type="paragraph" w:styleId="TOC6">
    <w:name w:val="TOC 6"/>
    <w:basedOn w:val="Normal"/>
    <w:next w:val="Normal"/>
    <w:autoRedefine/>
    <w:unhideWhenUsed/>
    <w:rsid w:val="00d849aa"/>
    <w:pPr>
      <w:ind w:left="1120" w:hanging="0"/>
    </w:pPr>
    <w:rPr>
      <w:rFonts w:ascii="Calibri" w:hAnsi="Calibri" w:cs="Calibri" w:asciiTheme="minorHAnsi" w:cstheme="minorHAnsi" w:hAnsiTheme="minorHAnsi"/>
      <w:sz w:val="20"/>
      <w:szCs w:val="20"/>
    </w:rPr>
  </w:style>
  <w:style w:type="paragraph" w:styleId="TOC7">
    <w:name w:val="TOC 7"/>
    <w:basedOn w:val="Normal"/>
    <w:next w:val="Normal"/>
    <w:autoRedefine/>
    <w:unhideWhenUsed/>
    <w:rsid w:val="00d849aa"/>
    <w:pPr>
      <w:ind w:left="1400" w:hanging="0"/>
    </w:pPr>
    <w:rPr>
      <w:rFonts w:ascii="Calibri" w:hAnsi="Calibri" w:cs="Calibri" w:asciiTheme="minorHAnsi" w:cstheme="minorHAnsi" w:hAnsiTheme="minorHAnsi"/>
      <w:sz w:val="20"/>
      <w:szCs w:val="20"/>
    </w:rPr>
  </w:style>
  <w:style w:type="paragraph" w:styleId="TOC8">
    <w:name w:val="TOC 8"/>
    <w:basedOn w:val="Normal"/>
    <w:next w:val="Normal"/>
    <w:autoRedefine/>
    <w:unhideWhenUsed/>
    <w:rsid w:val="00d849aa"/>
    <w:pPr>
      <w:ind w:left="1680" w:hanging="0"/>
    </w:pPr>
    <w:rPr>
      <w:rFonts w:ascii="Calibri" w:hAnsi="Calibri" w:cs="Calibri" w:asciiTheme="minorHAnsi" w:cstheme="minorHAnsi" w:hAnsiTheme="minorHAnsi"/>
      <w:sz w:val="20"/>
      <w:szCs w:val="20"/>
    </w:rPr>
  </w:style>
  <w:style w:type="paragraph" w:styleId="Default" w:customStyle="1">
    <w:name w:val="Default"/>
    <w:qFormat/>
    <w:rsid w:val="00597158"/>
    <w:pPr>
      <w:widowControl/>
      <w:suppressAutoHyphens w:val="true"/>
      <w:bidi w:val="0"/>
      <w:spacing w:before="0" w:after="0"/>
      <w:jc w:val="left"/>
    </w:pPr>
    <w:rPr>
      <w:rFonts w:ascii="Arial" w:hAnsi="Arial" w:cs="Arial" w:eastAsia="Times New Roman"/>
      <w:color w:val="000000"/>
      <w:kern w:val="0"/>
      <w:sz w:val="24"/>
      <w:szCs w:val="24"/>
      <w:lang w:val="ru-RU" w:eastAsia="ru-RU" w:bidi="ar-SA"/>
    </w:rPr>
  </w:style>
  <w:style w:type="paragraph" w:styleId="Msonormal" w:customStyle="1">
    <w:name w:val="msonormal"/>
    <w:basedOn w:val="Normal"/>
    <w:qFormat/>
    <w:rsid w:val="009c49dd"/>
    <w:pPr>
      <w:spacing w:beforeAutospacing="1" w:afterAutospacing="1"/>
    </w:pPr>
    <w:rPr>
      <w:sz w:val="24"/>
      <w:szCs w:val="24"/>
    </w:rPr>
  </w:style>
  <w:style w:type="paragraph" w:styleId="Xl122" w:customStyle="1">
    <w:name w:val="xl122"/>
    <w:basedOn w:val="Normal"/>
    <w:qFormat/>
    <w:rsid w:val="009c49d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ISOCPEUR" w:hAnsi="ISOCPEUR"/>
      <w:color w:val="000000"/>
      <w:sz w:val="16"/>
      <w:szCs w:val="16"/>
    </w:rPr>
  </w:style>
  <w:style w:type="paragraph" w:styleId="Xl123" w:customStyle="1">
    <w:name w:val="xl123"/>
    <w:basedOn w:val="Normal"/>
    <w:qFormat/>
    <w:rsid w:val="009c49d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ISOCPEUR" w:hAnsi="ISOCPEUR"/>
      <w:color w:val="000000"/>
      <w:sz w:val="16"/>
      <w:szCs w:val="16"/>
    </w:rPr>
  </w:style>
  <w:style w:type="paragraph" w:styleId="Xl124" w:customStyle="1">
    <w:name w:val="xl124"/>
    <w:basedOn w:val="Normal"/>
    <w:qFormat/>
    <w:rsid w:val="009c49dd"/>
    <w:pPr>
      <w:pBdr>
        <w:top w:val="single" w:sz="4" w:space="0" w:color="000000"/>
        <w:left w:val="single" w:sz="4" w:space="0" w:color="000000"/>
        <w:bottom w:val="single" w:sz="4" w:space="0" w:color="000000"/>
        <w:right w:val="single" w:sz="4" w:space="0" w:color="000000"/>
      </w:pBdr>
      <w:spacing w:beforeAutospacing="1" w:afterAutospacing="1"/>
    </w:pPr>
    <w:rPr>
      <w:rFonts w:ascii="ISOCPEUR" w:hAnsi="ISOCPEUR"/>
      <w:sz w:val="16"/>
      <w:szCs w:val="16"/>
    </w:rPr>
  </w:style>
  <w:style w:type="paragraph" w:styleId="Xl125" w:customStyle="1">
    <w:name w:val="xl125"/>
    <w:basedOn w:val="Normal"/>
    <w:qFormat/>
    <w:rsid w:val="009c49dd"/>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ISOCPEUR" w:hAnsi="ISOCPEUR"/>
      <w:color w:val="000000"/>
      <w:sz w:val="16"/>
      <w:szCs w:val="16"/>
    </w:rPr>
  </w:style>
  <w:style w:type="paragraph" w:styleId="Xl126" w:customStyle="1">
    <w:name w:val="xl126"/>
    <w:basedOn w:val="Normal"/>
    <w:qFormat/>
    <w:rsid w:val="009c49dd"/>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ISOCPEUR" w:hAnsi="ISOCPEUR"/>
      <w:sz w:val="16"/>
      <w:szCs w:val="16"/>
    </w:rPr>
  </w:style>
  <w:style w:type="paragraph" w:styleId="Xl127" w:customStyle="1">
    <w:name w:val="xl127"/>
    <w:basedOn w:val="Normal"/>
    <w:qFormat/>
    <w:rsid w:val="009c49dd"/>
    <w:pPr>
      <w:pBdr>
        <w:top w:val="single" w:sz="4" w:space="0" w:color="000000"/>
        <w:left w:val="single" w:sz="4" w:space="0" w:color="000000"/>
        <w:bottom w:val="single" w:sz="4" w:space="0" w:color="000000"/>
        <w:right w:val="single" w:sz="4" w:space="0" w:color="000000"/>
      </w:pBdr>
      <w:spacing w:beforeAutospacing="1" w:afterAutospacing="1"/>
    </w:pPr>
    <w:rPr>
      <w:rFonts w:ascii="ISOCPEUR" w:hAnsi="ISOCPEUR"/>
      <w:sz w:val="16"/>
      <w:szCs w:val="16"/>
    </w:rPr>
  </w:style>
  <w:style w:type="paragraph" w:styleId="Xl128" w:customStyle="1">
    <w:name w:val="xl128"/>
    <w:basedOn w:val="Normal"/>
    <w:qFormat/>
    <w:rsid w:val="009c49d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ISOCPEUR" w:hAnsi="ISOCPEUR"/>
      <w:sz w:val="16"/>
      <w:szCs w:val="16"/>
    </w:rPr>
  </w:style>
  <w:style w:type="paragraph" w:styleId="Xl129" w:customStyle="1">
    <w:name w:val="xl129"/>
    <w:basedOn w:val="Normal"/>
    <w:qFormat/>
    <w:rsid w:val="009c49d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ISOCPEUR" w:hAnsi="ISOCPEUR"/>
      <w:sz w:val="16"/>
      <w:szCs w:val="16"/>
    </w:rPr>
  </w:style>
  <w:style w:type="paragraph" w:styleId="Xl130" w:customStyle="1">
    <w:name w:val="xl130"/>
    <w:basedOn w:val="Normal"/>
    <w:qFormat/>
    <w:rsid w:val="009c49d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ISOCPEUR" w:hAnsi="ISOCPEUR"/>
      <w:sz w:val="16"/>
      <w:szCs w:val="16"/>
    </w:rPr>
  </w:style>
  <w:style w:type="paragraph" w:styleId="Xl131" w:customStyle="1">
    <w:name w:val="xl131"/>
    <w:basedOn w:val="Normal"/>
    <w:qFormat/>
    <w:rsid w:val="009c49d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ISOCPEUR" w:hAnsi="ISOCPEUR"/>
      <w:sz w:val="16"/>
      <w:szCs w:val="16"/>
    </w:rPr>
  </w:style>
  <w:style w:type="paragraph" w:styleId="Xl132" w:customStyle="1">
    <w:name w:val="xl132"/>
    <w:basedOn w:val="Normal"/>
    <w:qFormat/>
    <w:rsid w:val="009c49d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ISOCPEUR" w:hAnsi="ISOCPEUR"/>
      <w:sz w:val="16"/>
      <w:szCs w:val="16"/>
    </w:rPr>
  </w:style>
  <w:style w:type="paragraph" w:styleId="Xl133" w:customStyle="1">
    <w:name w:val="xl133"/>
    <w:basedOn w:val="Normal"/>
    <w:qFormat/>
    <w:rsid w:val="009c49d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ISOCPEUR" w:hAnsi="ISOCPEUR"/>
      <w:sz w:val="16"/>
      <w:szCs w:val="16"/>
      <w:u w:val="single"/>
    </w:rPr>
  </w:style>
  <w:style w:type="paragraph" w:styleId="Xl134" w:customStyle="1">
    <w:name w:val="xl134"/>
    <w:basedOn w:val="Normal"/>
    <w:qFormat/>
    <w:rsid w:val="009c49d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ISOCPEUR" w:hAnsi="ISOCPEUR"/>
      <w:sz w:val="16"/>
      <w:szCs w:val="16"/>
    </w:rPr>
  </w:style>
  <w:style w:type="paragraph" w:styleId="Xl135" w:customStyle="1">
    <w:name w:val="xl135"/>
    <w:basedOn w:val="Normal"/>
    <w:qFormat/>
    <w:rsid w:val="009c49d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ISOCPEUR" w:hAnsi="ISOCPEUR"/>
      <w:sz w:val="16"/>
      <w:szCs w:val="16"/>
    </w:rPr>
  </w:style>
  <w:style w:type="paragraph" w:styleId="Xl136" w:customStyle="1">
    <w:name w:val="xl136"/>
    <w:basedOn w:val="Normal"/>
    <w:qFormat/>
    <w:rsid w:val="009c49d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ISOCPEUR" w:hAnsi="ISOCPEUR"/>
      <w:sz w:val="16"/>
      <w:szCs w:val="16"/>
    </w:rPr>
  </w:style>
  <w:style w:type="paragraph" w:styleId="Xl137" w:customStyle="1">
    <w:name w:val="xl137"/>
    <w:basedOn w:val="Normal"/>
    <w:qFormat/>
    <w:rsid w:val="009c49d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ISOCPEUR" w:hAnsi="ISOCPEUR"/>
      <w:sz w:val="16"/>
      <w:szCs w:val="16"/>
    </w:rPr>
  </w:style>
  <w:style w:type="paragraph" w:styleId="Xl138" w:customStyle="1">
    <w:name w:val="xl138"/>
    <w:basedOn w:val="Normal"/>
    <w:qFormat/>
    <w:rsid w:val="009c49d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ISOCPEUR" w:hAnsi="ISOCPEUR"/>
      <w:sz w:val="16"/>
      <w:szCs w:val="16"/>
    </w:rPr>
  </w:style>
  <w:style w:type="paragraph" w:styleId="Xl139" w:customStyle="1">
    <w:name w:val="xl139"/>
    <w:basedOn w:val="Normal"/>
    <w:qFormat/>
    <w:rsid w:val="009c49d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ISOCPEUR" w:hAnsi="ISOCPEUR"/>
      <w:sz w:val="16"/>
      <w:szCs w:val="16"/>
    </w:rPr>
  </w:style>
  <w:style w:type="paragraph" w:styleId="Xl140" w:customStyle="1">
    <w:name w:val="xl140"/>
    <w:basedOn w:val="Normal"/>
    <w:qFormat/>
    <w:rsid w:val="009c49dd"/>
    <w:pPr>
      <w:spacing w:beforeAutospacing="1" w:afterAutospacing="1"/>
      <w:textAlignment w:val="center"/>
    </w:pPr>
    <w:rPr>
      <w:rFonts w:ascii="ISOCPEUR" w:hAnsi="ISOCPEUR"/>
      <w:sz w:val="18"/>
      <w:szCs w:val="18"/>
    </w:rPr>
  </w:style>
  <w:style w:type="paragraph" w:styleId="Xl141" w:customStyle="1">
    <w:name w:val="xl141"/>
    <w:basedOn w:val="Normal"/>
    <w:qFormat/>
    <w:rsid w:val="009c49dd"/>
    <w:pPr>
      <w:spacing w:beforeAutospacing="1" w:afterAutospacing="1"/>
      <w:jc w:val="center"/>
      <w:textAlignment w:val="center"/>
    </w:pPr>
    <w:rPr>
      <w:rFonts w:ascii="ISOCPEUR" w:hAnsi="ISOCPEUR"/>
      <w:sz w:val="18"/>
      <w:szCs w:val="18"/>
    </w:rPr>
  </w:style>
  <w:style w:type="paragraph" w:styleId="Xl142" w:customStyle="1">
    <w:name w:val="xl142"/>
    <w:basedOn w:val="Normal"/>
    <w:qFormat/>
    <w:rsid w:val="009c49dd"/>
    <w:pPr>
      <w:spacing w:beforeAutospacing="1" w:afterAutospacing="1"/>
      <w:jc w:val="center"/>
      <w:textAlignment w:val="center"/>
    </w:pPr>
    <w:rPr>
      <w:rFonts w:ascii="ISOCPEUR" w:hAnsi="ISOCPEUR"/>
      <w:sz w:val="18"/>
      <w:szCs w:val="18"/>
    </w:rPr>
  </w:style>
  <w:style w:type="paragraph" w:styleId="Xl143" w:customStyle="1">
    <w:name w:val="xl143"/>
    <w:basedOn w:val="Normal"/>
    <w:qFormat/>
    <w:rsid w:val="009c49d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color w:val="000000"/>
      <w:sz w:val="14"/>
      <w:szCs w:val="14"/>
    </w:rPr>
  </w:style>
  <w:style w:type="paragraph" w:styleId="Xl144" w:customStyle="1">
    <w:name w:val="xl144"/>
    <w:basedOn w:val="Normal"/>
    <w:qFormat/>
    <w:rsid w:val="009c49d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ISOCPEUR" w:hAnsi="ISOCPEUR"/>
      <w:sz w:val="16"/>
      <w:szCs w:val="16"/>
      <w:u w:val="single"/>
    </w:rPr>
  </w:style>
  <w:style w:type="paragraph" w:styleId="Xl145" w:customStyle="1">
    <w:name w:val="xl145"/>
    <w:basedOn w:val="Normal"/>
    <w:qFormat/>
    <w:rsid w:val="009c49d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ISOCPEUR" w:hAnsi="ISOCPEUR"/>
      <w:sz w:val="16"/>
      <w:szCs w:val="16"/>
    </w:rPr>
  </w:style>
  <w:style w:type="paragraph" w:styleId="Xl146" w:customStyle="1">
    <w:name w:val="xl146"/>
    <w:basedOn w:val="Normal"/>
    <w:qFormat/>
    <w:rsid w:val="009c49d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sz w:val="14"/>
      <w:szCs w:val="14"/>
    </w:rPr>
  </w:style>
  <w:style w:type="paragraph" w:styleId="Xl147" w:customStyle="1">
    <w:name w:val="xl147"/>
    <w:basedOn w:val="Normal"/>
    <w:qFormat/>
    <w:rsid w:val="009c49dd"/>
    <w:pPr>
      <w:spacing w:beforeAutospacing="1" w:afterAutospacing="1"/>
      <w:textAlignment w:val="center"/>
    </w:pPr>
    <w:rPr>
      <w:rFonts w:ascii="ISOCPEUR" w:hAnsi="ISOCPEUR"/>
      <w:sz w:val="18"/>
      <w:szCs w:val="18"/>
    </w:rPr>
  </w:style>
  <w:style w:type="paragraph" w:styleId="Xl148" w:customStyle="1">
    <w:name w:val="xl148"/>
    <w:basedOn w:val="Normal"/>
    <w:qFormat/>
    <w:rsid w:val="009c49dd"/>
    <w:pPr>
      <w:spacing w:beforeAutospacing="1" w:afterAutospacing="1"/>
      <w:jc w:val="center"/>
      <w:textAlignment w:val="center"/>
    </w:pPr>
    <w:rPr>
      <w:rFonts w:ascii="ISOCPEUR" w:hAnsi="ISOCPEUR"/>
      <w:sz w:val="18"/>
      <w:szCs w:val="18"/>
    </w:rPr>
  </w:style>
  <w:style w:type="paragraph" w:styleId="Xl149" w:customStyle="1">
    <w:name w:val="xl149"/>
    <w:basedOn w:val="Normal"/>
    <w:qFormat/>
    <w:rsid w:val="009c49d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ISOCPEUR" w:hAnsi="ISOCPEUR"/>
      <w:sz w:val="16"/>
      <w:szCs w:val="16"/>
    </w:rPr>
  </w:style>
  <w:style w:type="paragraph" w:styleId="Xl150" w:customStyle="1">
    <w:name w:val="xl150"/>
    <w:basedOn w:val="Normal"/>
    <w:qFormat/>
    <w:rsid w:val="009c49d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ISOCPEUR" w:hAnsi="ISOCPEUR"/>
      <w:color w:val="000000"/>
      <w:sz w:val="16"/>
      <w:szCs w:val="16"/>
      <w:u w:val="single"/>
    </w:rPr>
  </w:style>
  <w:style w:type="paragraph" w:styleId="Xl151" w:customStyle="1">
    <w:name w:val="xl151"/>
    <w:basedOn w:val="Normal"/>
    <w:qFormat/>
    <w:rsid w:val="009c49dd"/>
    <w:pPr>
      <w:pBdr>
        <w:top w:val="single" w:sz="4" w:space="0" w:color="000000"/>
        <w:left w:val="single" w:sz="4" w:space="0" w:color="000000"/>
        <w:bottom w:val="single" w:sz="4" w:space="0" w:color="000000"/>
        <w:right w:val="single" w:sz="4" w:space="0" w:color="000000"/>
      </w:pBdr>
      <w:spacing w:beforeAutospacing="1" w:afterAutospacing="1"/>
      <w:textAlignment w:val="center"/>
    </w:pPr>
    <w:rPr>
      <w:sz w:val="14"/>
      <w:szCs w:val="14"/>
    </w:rPr>
  </w:style>
  <w:style w:type="paragraph" w:styleId="Xl152" w:customStyle="1">
    <w:name w:val="xl152"/>
    <w:basedOn w:val="Normal"/>
    <w:qFormat/>
    <w:rsid w:val="009c49dd"/>
    <w:pPr>
      <w:pBdr>
        <w:top w:val="single" w:sz="4" w:space="0" w:color="000000"/>
        <w:left w:val="single" w:sz="4" w:space="0" w:color="000000"/>
        <w:bottom w:val="single" w:sz="4" w:space="0" w:color="000000"/>
        <w:right w:val="single" w:sz="4" w:space="0" w:color="000000"/>
      </w:pBdr>
      <w:spacing w:beforeAutospacing="1" w:afterAutospacing="1"/>
      <w:jc w:val="center"/>
    </w:pPr>
    <w:rPr>
      <w:rFonts w:ascii="ISOCPEUR" w:hAnsi="ISOCPEUR"/>
      <w:sz w:val="16"/>
      <w:szCs w:val="16"/>
    </w:rPr>
  </w:style>
  <w:style w:type="paragraph" w:styleId="Style33" w:customStyle="1">
    <w:name w:val="Содержимое врезки"/>
    <w:basedOn w:val="Normal"/>
    <w:qFormat/>
    <w:pPr/>
    <w:rPr/>
  </w:style>
  <w:style w:type="paragraph" w:styleId="110" w:customStyle="1">
    <w:name w:val="Основной текст1"/>
    <w:basedOn w:val="Normal"/>
    <w:qFormat/>
    <w:pPr>
      <w:widowControl w:val="false"/>
      <w:shd w:val="clear" w:color="auto" w:fill="FFFFFF"/>
      <w:spacing w:lineRule="exact" w:line="302"/>
    </w:pPr>
    <w:rPr/>
  </w:style>
  <w:style w:type="paragraph" w:styleId="Style34" w:customStyle="1">
    <w:name w:val="Содержимое таблицы"/>
    <w:basedOn w:val="Normal"/>
    <w:qFormat/>
    <w:rsid w:val="00e9167f"/>
    <w:pPr>
      <w:widowControl w:val="false"/>
      <w:suppressLineNumbers/>
    </w:pPr>
    <w:rPr/>
  </w:style>
  <w:style w:type="paragraph" w:styleId="Style35" w:customStyle="1">
    <w:name w:val="Заголовок таблицы"/>
    <w:basedOn w:val="Style34"/>
    <w:qFormat/>
    <w:pPr>
      <w:jc w:val="center"/>
    </w:pPr>
    <w:rPr>
      <w:b/>
      <w:bCs/>
    </w:rPr>
  </w:style>
  <w:style w:type="numbering" w:styleId="NoList" w:default="1">
    <w:name w:val="No List"/>
    <w:uiPriority w:val="99"/>
    <w:semiHidden/>
    <w:unhideWhenUsed/>
    <w:qFormat/>
  </w:style>
  <w:style w:type="numbering" w:styleId="111" w:customStyle="1">
    <w:name w:val="Стиль1"/>
    <w:uiPriority w:val="99"/>
    <w:qFormat/>
    <w:rsid w:val="00f001e4"/>
  </w:style>
  <w:style w:type="numbering" w:styleId="29" w:customStyle="1">
    <w:name w:val="Стиль2"/>
    <w:uiPriority w:val="99"/>
    <w:qFormat/>
    <w:rsid w:val="006629c9"/>
  </w:style>
  <w:style w:type="numbering" w:styleId="112" w:customStyle="1">
    <w:name w:val="Нет списка1"/>
    <w:uiPriority w:val="99"/>
    <w:semiHidden/>
    <w:unhideWhenUsed/>
    <w:qFormat/>
    <w:rsid w:val="009c49dd"/>
  </w:style>
  <w:style w:type="table" w:default="1" w:styleId="a5">
    <w:name w:val="Normal Table"/>
    <w:uiPriority w:val="99"/>
    <w:semiHidden/>
    <w:unhideWhenUsed/>
    <w:tblPr>
      <w:tblCellMar>
        <w:top w:w="0" w:type="dxa"/>
        <w:left w:w="108" w:type="dxa"/>
        <w:bottom w:w="0" w:type="dxa"/>
        <w:right w:w="108" w:type="dxa"/>
      </w:tblCellMar>
    </w:tblPr>
  </w:style>
  <w:style w:type="table" w:styleId="affff9">
    <w:name w:val="Table Grid"/>
    <w:basedOn w:val="a5"/>
    <w:uiPriority w:val="39"/>
    <w:rsid w:val="0076353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e">
    <w:name w:val="Сетка таблицы1"/>
    <w:basedOn w:val="a5"/>
    <w:uiPriority w:val="39"/>
    <w:rsid w:val="00214b9f"/>
    <w:rPr>
      <w:rFonts w:asciiTheme="minorHAnsi" w:hAnsiTheme="minorHAnsi" w:eastAsiaTheme="minorHAnsi" w:cstheme="minorBidi"/>
      <w:lang w:eastAsia="en-US"/>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eader" Target="header4.xml"/><Relationship Id="rId6" Type="http://schemas.openxmlformats.org/officeDocument/2006/relationships/header" Target="header5.xml"/><Relationship Id="rId7" Type="http://schemas.openxmlformats.org/officeDocument/2006/relationships/header" Target="header6.xml"/><Relationship Id="rId8" Type="http://schemas.openxmlformats.org/officeDocument/2006/relationships/header" Target="header7.xml"/><Relationship Id="rId9" Type="http://schemas.openxmlformats.org/officeDocument/2006/relationships/header" Target="header8.xml"/><Relationship Id="rId10" Type="http://schemas.openxmlformats.org/officeDocument/2006/relationships/header" Target="header9.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8D587-CDA1-49C8-8760-C1D0D9A39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1003</TotalTime>
  <Application>AlterOffice/3.4.0.9$Linux_X86_64 LibreOffice_project/b8daf9e823b1a5463a2f48435ddc2e8696e7d4fc</Application>
  <AppVersion>15.0000</AppVersion>
  <Pages>25</Pages>
  <Words>4397</Words>
  <Characters>31697</Characters>
  <CharactersWithSpaces>35711</CharactersWithSpaces>
  <Paragraphs>396</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2026-03-23T08:03:00Z</dcterms:created>
  <dc:creator>Быстров Олег Геннадьевич</dc:creator>
  <dc:description/>
  <dc:language>ru-RU</dc:language>
  <cp:lastModifiedBy>kuzmichevatav@corp.gidroogk.com</cp:lastModifiedBy>
  <cp:lastPrinted>2026-02-03T10:08:00Z</cp:lastPrinted>
  <dcterms:modified xsi:type="dcterms:W3CDTF">2026-05-15T15:46:44Z</dcterms:modified>
  <cp:revision>7</cp:revision>
  <dc:subject/>
  <dc:title>Российское открытое акционерное общество энергетики и электрификации</dc:title>
</cp:coreProperties>
</file>

<file path=docProps/custom.xml><?xml version="1.0" encoding="utf-8"?>
<Properties xmlns="http://schemas.openxmlformats.org/officeDocument/2006/custom-properties" xmlns:vt="http://schemas.openxmlformats.org/officeDocument/2006/docPropsVTypes"/>
</file>